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Вопросы респондентов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3-Ф Сведения о просроченной задолженности по заработной плате. Если организация выплатила заработную плату своим работникам позже срока, установленного коллективным договором, но погасила эту задолженность до 1 числа следующего месяца, отражается ли эта сумма в отчете по форме 3-ф?</w:t>
      </w:r>
    </w:p>
    <w:p>
      <w:pPr>
        <w:rPr/>
      </w:pPr>
      <w:r>
        <w:rPr/>
        <w:t xml:space="preserve">Ответ: Нет, в отчете должна указываться только задолженность, фактически существующая на 1-е число следующего месяца.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3-Ф Сведения о просроченной задолженности по заработной плате. По строке 01 формы 3-Ф следует отражать просроченную задолженность по заработной плате с учетом или без учета налога на доходы физических лиц?</w:t>
      </w:r>
    </w:p>
    <w:p>
      <w:pPr>
        <w:rPr/>
      </w:pPr>
      <w:r>
        <w:rPr/>
        <w:t xml:space="preserve">Ответ: В сумму просроченной задолженности по заработной плате обязательно включается налог на доходы физических лиц (НДФЛ) и другие удержания в соответствии с законодательством, но размер задолженности по налогу на доходы физических лиц отражается только на сумму долгов по оплате труда, сложившихся на отчетную дату.</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3-Ф Сведения о просроченной задолженности по заработной плате. Текущая задолженность что это?</w:t>
      </w:r>
    </w:p>
    <w:p>
      <w:pPr>
        <w:rPr/>
      </w:pPr>
      <w:r>
        <w:rPr/>
        <w:t xml:space="preserve">Ответ: Это фактически начисленные суммы работникам заработной платы, срок выплат, которых еще не наступил. Так по состоянию на 1 июня 2009г текущей является заработная плата, начисленная за май месяц. Просроченной задолженностью на эту дату будет заработная плата, начисленная за апрель, но не выплаченная в течение мая. Текущую задолженность включать в отчет по форме 3-ф не надо.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Формы статотчетности по основным фондам. Включаются ли в состав основных фондов природные ресурсы?</w:t>
      </w:r>
    </w:p>
    <w:p>
      <w:pPr>
        <w:rPr/>
      </w:pPr>
      <w:r>
        <w:rPr/>
        <w:t xml:space="preserve">Ответ: Природные ресурсы в статистике относятся к непроизведенным активам, не включаемым в состав основных фондов (за исключением затрат на их улучшение и приобретение на них прав собственности, относящихся к произведенным активам).    В форме №11 в разделе V «Другие нефинансовые активы»  учитываются лишь те природные ресурсы, которые отвечают определению основных средств в бухгалтерском учете и отражаются в бухгалтерском балансе по статье «Земельные участки и объекты природопользования» группы статей «Основные средства».   Земля и другие природные ресурсы, находящиеся у организаций на условиях аренды и учитываемые на забалансовом счете 001 «Арендованные основные средства», в форме № 11 не учитываются, во избежание двойного учета (и у арендаторов, и у арендодателей). В форме №11(краткая) в справочном разделе учитываются природные ресурсы, стоимость которых отражается в бухгалтерском учете, включая забалансовый счет 01 «Имущество, полученное в пользование».  Это связано с тем, что в данном случае эти природные ресурсы не учитываются другими организациями на балансовых счетах, и двойного учета не возникает.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Формы статотчетности по основным фондам. Как рассчитать средний возраст имеющихся на конец года основных фондов?</w:t>
      </w:r>
    </w:p>
    <w:p>
      <w:pPr>
        <w:rPr/>
      </w:pPr>
      <w:r>
        <w:rPr/>
        <w:t xml:space="preserve">Ответ: В строках 27 - 30 формы №11 и 20-23 формы №11(краткая) в обязательном порядке приводятся результаты оценки организацией среднего возраста основных средств, т.е. количества лет (округленного до целых чисел), прошедших с момента изготовления, строительства объектов до конца отчетного года, в среднем, соответственно, по зданиям; сооружениям; машинам и оборудованию; транспортным средствам. Под оценкой, осуществляемой отчитывающейся организацией, понимается приблизительная экспертная оценка среднего возраста, по аналогии с подходами конъюнктурных обследований. Если организация имеет несколько зданий, то при оценке их среднего возраста можно использовать «среднюю арифметическую взвешенную», т.е. возраст каждого здания умножить на его долю (в разах) в общей полной учетной стоимости этих зданий. Пример: при наличии 5-х зданий: с полной учетной стоимостью 4 млн.руб. возрастом 60 лет, 3 млн.руб. возрастом 50 лет. 6 млн.руб. возрастом 35 лет, 7 млн.руб. возрастом 15 лет и 15 млн.руб. возрастом 12 лет (общей стоимостью 35 млн. руб.) их средний возраст составит 60х4/35+50х3/365+35х6/35+15х7/35+12х5/35=7+4+6+3+5=25 лет. Если зданий, сооружений, машин и оборудования, транспортных средств много, но среди этих видов основных фондов есть сравнительно небольшое количество более дорогих объектов, то целесообразно осуществлять подобный расчет только по этим объектам, исключая их него менее дорогие объекты. При большом количестве относительно близких по стоимости объектов - зданий, станков, автомобилей и т.д., если трудно выделить наиболее дорогостоящие объекты, то применяется расчет среднего возраста либо по средней арифметической невзвешенной, т.е. без учета стоимости объектов, либо учитывается год изготовления, строительства, ввода в действие наибольшего объема основных фондов соответствующего вида. Для объектов, приобретенных на вторичном рынке, при определении возраста оценивается период времени с момента их изготовления, строительства, а не с момента приобретения данной организацией.  При существенных затратах на модернизацию, реконструкцию, достройку, дооборудование объектов основных фондов время их осуществления целесообразно учитывать при определении возраста этих объектов. Например, если объекты прослужили в среднем 18 лет, но затраты на модернизацию и реконструкцию, осуществленные 6 лет назад, составляют, если их выразить в тех же ценах, что и сами объекты, примерно половину их полной учетной стоимости, то средний возраст объектов составляет (18+6)/2=12 лет.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Формы статотчетности по основным фондам. Разъясните по форме №11 введённое новое  понятие «поисковых активов».</w:t>
      </w:r>
    </w:p>
    <w:p>
      <w:pPr>
        <w:rPr/>
      </w:pPr>
      <w:r>
        <w:rPr/>
        <w:t xml:space="preserve">Ответ: Понятие «поисковых активов», определено Положением по бухгалтерскому учету «Учет затрат на освоение природных ресурсов» (ПБУ 24/2011). Бухгалтерский учет материальных и нематериальных поисковых активов ведется на счете 08 "Вложения во внеоборотные активы", к которому открываются отдельные субсчета. Отдельных показателей по поисковым активам в форме не предусмотрено. Сами эти активы используются в геологической деятельности как завершенные экономические активы; их особенность состоит лишь в том, что экономическая целесообразность использования  природных ресурсов, обнаруженных в результате геологической деятельности, еще не определена.  К материальным поисковым активам относятся используемые в процессе поиска, разведки и оценки месторождений полезных ископаемых: а) сооружения (система трубопроводов и т.д.); б) оборудование (специализированные буровые установки, насосные агрегаты, резервуары и т.д.); в) транспортные средства. В форме №11 они учитываются в составе материальных основных фондов вместе с аналогичными видами основных фондов.  К нематериальным поисковым активам относятся:   а) информация, полученная в результате топографических, геологических и геофизических исследований; б) результаты разведочного бурения; в) результаты отбора образцов; г) иная геологическая информация о недрах; д) оценка коммерческой целесообразности добычи. В форме №11 они учитываются в составе нематериальных основных фондов - объектов интеллектуальной собственности и продуктов интеллектуальной деятельности (стр. 13), относясь к  «разведке недр и оценке запасов полезных ископаемых, включая произведенные нематериальные поисковые активы» (стр. 13.2).  К нематериальным поисковым активам относятся также  права на выполнение работ по поиску, оценке месторождений полезных ископаемых и (или) разведке полезных ископаемых, подтвержденные наличием соответствующей лицензии. Они в состав основных фондов не включаются и в форме №11 учитываются в разделе V «Другие нефинансовые активы», по строке 60 «Полная учетная стоимость контрактов, договоров аренды, лицензий, отражаемых в бухгалтерском учете в составе нематериальных активов, непроизведенных нематериальных поисковых активов». На полную учетную стоимость поисковых  активов влияют переоценка и обесценение, а на остаточную балансовую -  переоценка, обесценение и износ (амортизация).  Бухгалтерский учет поисковых активов на счете 08 осуществляется до того момента, когда организация определяет либо коммерческую целесообразность добычи полезных ископаемых на определенном участке, либо ее бесперспективность. Если добыча полезных ископаемых признана бесперспективной, то поисковые активы, как правило, списываются единовременно в состав прочих расходов организации. В формах федерального статистического наблюдения  № 11 данная хозяйственная операция должна отражаться в графе 6 раздела I, как ликвидация. Если же организация документально подтверждает коммерческую целесообразность добычи полезных ископаемых, поисковые активы, после проверки на обесценение, и, при необходимости,  осуществления  обесценения, переводятся  в  бухгалтерском учете: материальные - в состав основных средств, а нематериальные -  в состав нематериальных активов.  В форме № 11  поисковые активы и до, и после этого перевода, учитываются в составе материальных и нематериальных основных фондов, по полной учетной  и остаточной балансовой стоимости,  и непроизведенных активов, по полной учетной стоимости. При переводе  полная учетная и остаточная балансовая стоимость меняются (одновременно) только в тех случаях, когда  осуществляется  обесценение  активов.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Форма № ПМ - Сведения об основных показателях деятельности малого предприятия. Включаются ли в выплаты социального характера выплаты по временной нетрудоспособности (больничные листы, в том числе по беременности и родам; пособия по уходу за ребенком)</w:t>
      </w:r>
    </w:p>
    <w:p>
      <w:pPr>
        <w:rPr/>
      </w:pPr>
      <w:r>
        <w:rPr/>
        <w:t xml:space="preserve">Ответ: Суммы пособий по временной нетрудоспособности, выплачиваемые за счет средств организации в соответствии с законодательством РФ, не включаются в выплаты социального характера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учитываются лица списочного состава, работающие неполное рабочее время?</w:t>
      </w:r>
    </w:p>
    <w:p>
      <w:pPr>
        <w:rPr/>
      </w:pPr>
      <w:r>
        <w:rPr/>
        <w:t xml:space="preserve">Ответ: Лица, работающие неполное рабочее время в соответствии с трудовым договором или переведенные с письменного согласия работника на работу на неполное рабочее время, при определении среднесписочной численности учитываются пропорционально отработанному времени. Но следует учитывать, что лица, переведенные на неполное рабочее время по инициативе администрации (без письменного согласия работника), учитываются в среднесписочной численности как целые единицы.</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Какие категории работников не включаются в списочный состав?</w:t>
      </w:r>
    </w:p>
    <w:p>
      <w:pPr>
        <w:rPr/>
      </w:pPr>
      <w:r>
        <w:rPr/>
        <w:t xml:space="preserve">Ответ: В списочную численность не включаются:  - принятые на работу по совместительству из других организаций; - выполнявшие работу по договорам гражданско-правового характера; - направленные на работу в другую организацию, если за ними не сохраняется заработная плата; - привлеченные для работы согласно специальным договорам (военнослужащие, лица, отбывающие наказание); - направленные на обучение с отрывом от производства; - подавшие заявление об увольнении и прекратившие работу до истечения срока предупреждения; - собственники организации, не получающие заработную плату.</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Какие категории работников списочного состава не включаются в среднесписочную численность?</w:t>
      </w:r>
    </w:p>
    <w:p>
      <w:pPr>
        <w:rPr/>
      </w:pPr>
      <w:r>
        <w:rPr/>
        <w:t xml:space="preserve">Ответ: При определении среднесписочной численности некоторые работники списочной численности не включаются в среднесписочную численность. К ним относятся:  - женщины, находящиеся в отпусках по беременности и родам, по уходу за ребенком; - 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в соответствии с законодательством РФ.</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Где показываются суммы по оплате больничных листов?</w:t>
      </w:r>
    </w:p>
    <w:p>
      <w:pPr>
        <w:rPr/>
      </w:pPr>
      <w:r>
        <w:rPr/>
        <w:t xml:space="preserve">Ответ: Пособия по временной нетрудоспособности (оплата больничных листов), за счет средств государственных внебюджетных фондов, а также средств организации (за первых два дня) не учитываются в фонде заработной платы и выплатах социального характера и не включаются в отчет по форме П-4.</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Каким образом малое предприятие, микропредприятие узнает, что необходимо отчитываться по статистической форме?</w:t>
      </w:r>
    </w:p>
    <w:p>
      <w:pPr>
        <w:rPr/>
      </w:pPr>
      <w:r>
        <w:rPr/>
        <w:t xml:space="preserve">Ответ: На сайте Росстата в разделе «Респондентам/Уведомление о кодах по общероссийским классификаторам и перечень форм» можно найти список респондентов в отношении которых ежемесячно, ежеквартально, ежегодно проводятся текущие выборочные наблюдения (с указанием индексов и форм для заполнения, реквизитов их утверждения). Получить актуальный для организации перечень форм федерального статистического наблюдения можно в профильном разделе информационно-поисковой системы http://websbor.gks.ru, указав код по Общероссийскому классификатору предприятий и организаций (ОКПО) или основной государственный регистрационный номер юридического лица (ОГРН). Сведения о перечнях форм актуализируются ежемесячно с учетом периодичности форм (месячная, квартальная, полугодовая, годовая) и необходимости актуализации совокупностей объектов наблюдения. При проведении сплошных наблюдений за деятельностью субъектов малого и среднего предпринимательства (раз в пять лет, проведено за 2010 и 2015 годы, планируется за 2020 год) респонденты информируются различными способами дополнительно. Обследования субъектов малого предпринимательства проводятся в соответствии с Федеральным законом от 24.07.2007 года № 209-ФЗ «О развитии малого и среднего предпринимательства в Российской Федерации».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узнать, какую статистическую отчётность должна предоставлять наша организация?</w:t>
      </w:r>
    </w:p>
    <w:p>
      <w:pPr>
        <w:rPr/>
      </w:pPr>
      <w:r>
        <w:rPr/>
        <w:t xml:space="preserve">Ответ: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утвержденным постановлением Правительства Российской Федерации от 18.08.2008 № 620 (с изменениями от 22.04.2015 № 381), установлено, что доведение до респондентов форм федерального статистического наблюдения и указаний по их заполнению осуществляется путем размещения субъектами официального статистического учета на своих официальных сайтах в сети Интернет форм федерального статистического наблюдения и указаний по их заполнению, а также перечня респондентов, в отношении которых проводятся федеральные статистические наблюдения, с указанием индексов и наименований форм, подлежащих предоставлению, реквизитов их утверждения.  На Интернет-портале Росстата имеется специальный раздел Информация для респондентов . В подрубрике Перечень респондентов, в отношении которых проводятся федеральные статистические наблюдения указан порядок получения информации о подлежащих представлению формах федерального статистического наблюдения.  Для получения перечня форм федерального статистического наблюдения, относящегося к конкретной организации (респонденту) необходимо обратиться к информационно-поисковой системе по адресу: http://websbor.gks.ru («Получить данные о кодах и формах»). После указания кода по Общероссийскому классификатору предприятий и организаций (ОКПО) или ОГРН и ввода защитного кода по кнопке «Перечень форм» формируется перечень форм федерального статистического наблюдения, подлежащих представлению организацией.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 или на сайт территориального органа Росстата.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информацию об общероссийских классификаторах?</w:t>
      </w:r>
    </w:p>
    <w:p>
      <w:pPr>
        <w:rPr/>
      </w:pPr>
      <w:r>
        <w:rPr/>
        <w:t xml:space="preserve">Ответ: Информация об общероссийских классификаторах (ОКВЭД, ОКПД, ОКТМО, ОКОПФ) размещена на сайте Росстата в разделе Информация для респондентов: http://rosstat.gov.ru/classification.  В составе каждого классификатора содержится Введение, в котором дано описание принципов построения классификатора и порядок его ведения.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информацию о присвоенных кодах?</w:t>
      </w:r>
    </w:p>
    <w:p>
      <w:pPr>
        <w:rPr/>
      </w:pPr>
      <w:r>
        <w:rPr/>
        <w:t xml:space="preserve">Ответ: Хозяйствующие субъекты могут получить информацию о  кодах по общероссийским классификаторам технико-экономической и социальной информации (ОК ТЭИ), установленных органами государственной статистики, по адресу http://websbor.gks.ru («Получить данные о кодах и формах»)»</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С какой периодичностью, по каким формам и какими методами обследуются субъекты малого предпринимательства?</w:t>
      </w:r>
    </w:p>
    <w:p>
      <w:pPr>
        <w:rPr/>
      </w:pPr>
      <w:r>
        <w:rPr/>
        <w:t xml:space="preserve">Ответ: Обследования субъектов малого и среднего предпринимательства проводятся ежемесячно, ежеквартально, ежегодно в форме текущих выборочных наблюдений на основе представительной (репрезентативной) выборки. А также один раз в пять лет (за 2010, 2015, 2020 годы) в форме сплошных наблюдений за деятельностью субъектов малого предпринимательства. Выборочные совокупности малых и микропредприятий, индивидуальных предпринимателей для участия в обследованиях формируются ежегодно по специально разработанному алгоритму.  Малые предприятия ежеквартально заполняют унифицированную форму федерального статистического наблюдения № ПМ «Сведения об основных показателях деятельности малого предприятия».  Микропредприятия и индивидуальные предприниматели обследуются ежегодно по формам № МП(микро) «Сведения об основных показателях деятельности микропредприятия» и № 1-ИП «Сведения о деятельности индивидуального предпринимателя». Кроме того, участники обследования заполняют специализированные формы статистических наблюдений.  Сплошному наблюдению подлежат все малые и микропредприятия, индивидуальные предприниматели, включенные в Единый реестр субъектов малого и среднего предпринимательства.  Малые и микропредприятия отчитываются по форме № МП-сп «Сведения об основных показателях деятельности малого предприятия  за 20__ год».  Индивидуальные - по форме № 1-предприниматель «Сведения о деятельности индивидуального предпринимателя за 20__год». Отчет предоставляется в электронном виде или на бумажном носителе. Обследования субъектов малого и среднего предпринимательства проводятся в соответствии с Федеральным законом от 24.07.2007 года № 209-ФЗ «О развитии малого и среднего предпринимательства в Российской Федерации».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Какая статистическая отчетность предусмотрена для индивидуального предпринимателя?</w:t>
      </w:r>
    </w:p>
    <w:p>
      <w:pPr>
        <w:rPr/>
      </w:pPr>
      <w:r>
        <w:rPr/>
        <w:t xml:space="preserve">Ответ: Индивидуальные предприниматели обследуются в сплошном режиме (раз в пять лет, очередной за 2020 год) по форме № 1-предприниматель «Сведения о деятельности индивидуального предпринимателя за 20__год». На выборочной основе (ежегодно)  по форме № 1-ИП «Сведения о деятельности индивидуального предпринимателя».  Также участники обследования заполняют специализированные формы статистических наблюдений в зависимости от вида деятельности (например, в сфере промышленности, торговли, строительства и др.).  Получить актуальный для организации перечень форм текущего выборочного наблюдения можно в профильном разделе информационно-поисковой системы http://websbor.gks.ru, указав код по Общероссийскому классификатору предприятий и организаций (ОКПО) или основного государственного регистрационного номера индивидуального предпринимателя (ОГРНИП). Отчет представляется в электронном виде или на бумажном носителе. При проведении сплошных наблюдений за деятельностью субъектов малого и среднего предпринимательства респонденты информируются различными способами дополнительно. Отчетность предоставляется в соответствии с Федеральным законом от 24.07.2007 № 209-ФЗ «О развитии малого и среднего предпринимательства в Российской Федерации».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Форма № ПМ - Сведения об основных показателях деятельности малого предприятия. Организация продала транспортное средство, числящееся у него на балансе, включать ли его в отгрузку товаров, работ, услуг?</w:t>
      </w:r>
    </w:p>
    <w:p>
      <w:pPr>
        <w:rPr/>
      </w:pPr>
      <w:r>
        <w:rPr/>
        <w:t xml:space="preserve">Ответ: Доходы, получаемые от продажи основных средств, в строку 6 не включаются, так как относятся к «прочим операционным доходам».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3-Ф Сведения о просроченной задолженности по заработной плате. Если организация находится в стадии конкурсного производства, то при наличии просроченной задолженности по заработной плате перед своими работниками, обязана ли она представлять отчет по форме 3-ф?</w:t>
      </w:r>
    </w:p>
    <w:p>
      <w:pPr>
        <w:rPr/>
      </w:pPr>
      <w:r>
        <w:rPr/>
        <w:t xml:space="preserve">Ответ: Да обязана. В соответствии со ст.22 Трудового кодекса РФ работодатель обязан выплатить заработную плату работнику за выполненную работу, вплоть до полной ликвидации юридического лица.  Сбор данных (по форме 3-ф) о просроченной задолженности по организациям, в том числе находящихся в стадии конкурсного производства, в силу смысла ст.45, ст.55 Конституции РФ, представляет определенный интерес государства. Данное обстоятельство предполагает право государства контролировать и принимать действенные меры к работодателям по снижению и ликвидации задолженности по заработной плате.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3-Ф Сведения о просроченной задолженности по заработной плате. Включать ли в отчет по форме 3-ф депонированную заработную плату?</w:t>
      </w:r>
    </w:p>
    <w:p>
      <w:pPr>
        <w:rPr/>
      </w:pPr>
      <w:r>
        <w:rPr/>
        <w:t xml:space="preserve">Ответ: Нет. Депонированная заработная плата – денежные средства, которые не были полученные в установленный срок работником по каким либо причинам, эти суммы подлежат депонированию и сдачи на расчетный счет предприятия в банк. В форме 3-ф показываются долги по заработной плате перед работниками предприятия, не выплаченные по вине работодателя.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Форма № ПМ - Сведения об основных показателях деятельности малого предприятия. Какие расходы на приобретение товаров отражаются по строке 11?</w:t>
      </w:r>
    </w:p>
    <w:p>
      <w:pPr>
        <w:rPr/>
      </w:pPr>
      <w:r>
        <w:rPr/>
        <w:t xml:space="preserve">Ответ: По строке 11 отражается только стоимость приобретенных в отчетном периоде товаров для перепродажи (дебет 41счета).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Где показывается компенсация за неиспользованный отпуск - в фонде заработной платы или выплатах социального характера?</w:t>
      </w:r>
    </w:p>
    <w:p>
      <w:pPr>
        <w:rPr/>
      </w:pPr>
      <w:r>
        <w:rPr/>
        <w:t xml:space="preserve">Ответ: Компенсация за неиспользованный отпуск учитывается в фонде заработной платы.</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Что включается в выплаты социального характера?</w:t>
      </w:r>
    </w:p>
    <w:p>
      <w:pPr>
        <w:rPr/>
      </w:pPr>
      <w:r>
        <w:rPr/>
        <w:t xml:space="preserve">Ответ: К выплатам социального характера относятся:  - выходное пособие; - единовременная материальная помощь, предоставленная отдельным работникам по семейным обстоятельствам; - оплата стоимости проезда к месту отдыха и обратно для работающих в районах Крайнего Севера и приравненных местностей; - компенсации и суммы, начисленные уволенным работникам на период трудоустройства в связи с сокращением численности или ликвидацией предприятия; - единовременные пособия и выплаты при выходе на пенсию, при увольнении; - страховые платежи (взносы), уплачиваемые организацией за работников по добровольному страхованию; - компенсации и льготы, выплачиваемые работникам, подвергшимся радиационному воздействию; - оплата путевок работникам на отдых и лечение за счет средств организации, оплата занятий в спортивных секциях, группах здоровья; - оплата подписки, стоимость подарков и билетов на зрелищные мероприятия детям работников за счет средств организации; - оплата стоимости проезда к месту работы и обратно.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учитывать женщин, которые оформили больничный лист по беременности и родам?</w:t>
      </w:r>
    </w:p>
    <w:p>
      <w:pPr>
        <w:rPr/>
      </w:pPr>
      <w:r>
        <w:rPr/>
        <w:t xml:space="preserve">Ответ: Женщина, оформившая больничный лист по беременности и родам в среднесписочной численности не учитывается, но в списочной численности ее следует учитывать.</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рассчитывается среднесписочная численность работников списочного состава?</w:t>
      </w:r>
    </w:p>
    <w:p>
      <w:pPr>
        <w:rPr/>
      </w:pPr>
      <w:r>
        <w:rPr/>
        <w:t xml:space="preserve">Ответ: Среднесписочная численность работников за месяц исчисляется путем суммирования списочной численности работников за каждый календарный день месяца, включая праздничные (нерабочие) и выходные дни, и деления полученной суммы на число календарных дней месяца.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определить среднегодовую численность, если организация работала неполный год?</w:t>
      </w:r>
    </w:p>
    <w:p>
      <w:pPr>
        <w:rPr/>
      </w:pPr>
      <w:r>
        <w:rPr/>
        <w:t xml:space="preserve">Ответ: Если организация работала неполный год (сезонный характер работы, создана после января), то среднесписочная численность работников за год определяется путем суммирования среднесписочной численности работников за все месяцы работы организации и деления полученной суммы на 12.</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Формы статотчетности по основным фондам. Уточните содержание понятия «информационное, компьютерное и телекоммуникационное оборудование».</w:t>
      </w:r>
    </w:p>
    <w:p>
      <w:pPr>
        <w:rPr/>
      </w:pPr>
      <w:r>
        <w:rPr/>
        <w:t xml:space="preserve">Ответ: По строке 06 (формы №№11,11(краткая)) учитываются  машины и оборудование, в строке 07 выделяется информационное, компьютерное и телекоммуникационное оборудование, т.е.:  - информационное оборудование, относящееся к информационной и коммуникационной инфраструктуре; - компьютерное оборудование (вычислительная техника) и оргтехника; - телекоммуникационное оборудование. В строке 08 из ИКТ- оборудования выделяется вычислительная техника (компьютерное оборудование) – код ОКОФ 14 3020000, и оргтехника -  коды ОКОФ 14 3010010, 14 3010020, 14 3010030, 14 3010040, офисные АТС. В строке 08.1 из ИКТ- оборудования выделяются средства радиосвязи, радиовещания и телевидения (телекоммуникационное оборудование) – код ОКОФ 14 3221010.  В строке 07 учитывается также остальное ИКТ-оборудование, не относящееся к компьютерному и телекоммуникационному оборудованию, т.е. собственно информационное оборудование, которое представляет собой составную часть информационных и коммуникационных инфраструктур, совокупность оборудования, применяемую в  информационно-коммуникационных технологиях для передачи и обработки информации. К нему относятся следующие коды по ОКОФ, и входящие в них коды более низкой иерархии:   [Код ОКОФ/ Вид основных фондов]  [14 3010210 / Средства светокопирования ] [14 3010220 / Средства фотокопирования и микрофотокопирования ] [14 3010230 / Средства электрофотографического копирования]  [14 3010240 / Средства электроискрового копирования]  [14 3010250 / Аппараты термокопирования ] [14 3230000 / Аппаратура теле - и радиоприемная ] [14 3322020 / Камеры фотографические, кинокамеры ] [14 3322030 / Проекторы, кинопроекторы (кроме считывающих устройств для микроформ)]  В ИКТ оборудование  не включаются: а) оборудование, используемое для отображения информации, но не  основанное на применении средств микроэлектроники (например, театрально-сценическое оборудование); б) оборудование, не относящееся к вычислительной технике, оргтехнике, средствам радиосвязи, радиовещания и телевидения, информационно-коммуникационной  инфраструктуре - банкоматы, платежные терминалы, медицинские приборы и оборудование, электромузыкальные инструменты, системы видеонаблюдения, используемые в пожарной и охранной сигнализации и  целях контроля технологических процессов.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отражаются численность и оплата труда работника, состоящего в списочном составе организации, если он заключил с этой же организацией договор гражданско-правового характера или работает внутренним совместителем?</w:t>
      </w:r>
    </w:p>
    <w:p>
      <w:pPr>
        <w:rPr/>
      </w:pPr>
      <w:r>
        <w:rPr/>
        <w:t xml:space="preserve">Ответ: Такие работники учитывается один раз в среднесписочной численности. Соответственно, данные по заработной плате (как по основной, так и по дополнительной работе) показываются в фонде заработной платы работников списочного состава.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 П-4 Сведения о численности, заработной плате и движении работников. Как рассчитывается средняя численность внешних совместителей?</w:t>
      </w:r>
    </w:p>
    <w:p>
      <w:pPr>
        <w:rPr/>
      </w:pPr>
      <w:r>
        <w:rPr/>
        <w:t xml:space="preserve">Ответ: Средняя численность внешних совместителей исчисляется пропорционально фактически отработанному времени. В связи с тем, что эти сведения могут составлять незначительную величину, то допускается заполнение этих данных с одним десятичным знаком.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О статистике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узнать сроки выхода официальных публикаций Росстата и оперативных статистических данных?</w:t>
      </w:r>
    </w:p>
    <w:p>
      <w:pPr>
        <w:rPr/>
      </w:pPr>
      <w:r>
        <w:rPr/>
        <w:t xml:space="preserve">Ответ: Периодичность и сроки выпуска официальных статистических публикаций установлены Федеральным планом статистических работ, так же как и сроки выхода официальной статистической информации, в том числе оперативной. . Сроки выпуска на текущий год отражены в «Плане-графике подготовки и размещения официальных статистических публикаций Росстата», который размещен на Интернет-портале Росстата в разделе «Публикации / План выпуска публикаций". Оперативные статистические данные публикуются в ежемесячно издаваемых публикациях: оперативном докладе «Информация о социально-экономическом положении России», докладе «Социально-экономическое положение России», бюллетене «Информация для ведения мониторинга социально-экономического положения субъектов Российской Федерации», в других бюллетенях, электронные версии которых размещены на Интернет-портале Росстата в разделе «Публикации / Каталог публикаций/ Периодические издания. Наиболее оперативно данные Росстата публикуются в «Срочных информациях» и справках по актуальным вопросам.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можно найти информацию об объеме промышленного производства (в стоимостном выражении)?</w:t>
      </w:r>
    </w:p>
    <w:p>
      <w:pPr>
        <w:rPr/>
      </w:pPr>
      <w:r>
        <w:rPr/>
        <w:t xml:space="preserve">Ответ: Росстатом вместо показателя «Объем промышленного производства» с 2005 года разрабатывается показатель «Отгружено товаров собственного производства, выполнено работ и услуг собственными силами» в действующих ценах по фактическим («чистым») видам экономической деятельности разделов «Добыча полезных ископаемых», «Обрабатывающие производства», «Производство и распределение электроэнергии, газа и воды» Общероссийского классификатора видов экономической деятельности (ОКВЭД). Статистическая информация по показателю «Отгружено товаров собственного производства, выполнено работ и услуг собственными силами» размещена на официальном сайте Росстата: в разделе «Статистика» в публикациях Росстата в разделе «Публикации» в ЕМИСС – \ Федеральная служба государственной статистики \ Добыча полезных ископаемых (Обрабатывающие производства, Производство и распределение электроэнергии, газа и воды) \ Объем отгруженной продукции (работ, услуг) в действующих ценах организаций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можно найти на сайте Росстата информацию о производстве, отгрузке, остатках отдельных видов продукции в натуральном выражении? По каким видам продукции эта информация разрабатывается?</w:t>
      </w:r>
    </w:p>
    <w:p>
      <w:pPr>
        <w:rPr/>
      </w:pPr>
      <w:r>
        <w:rPr/>
        <w:t xml:space="preserve">Ответ: Ответ: Формирование официальной статистической информации о производстве, отгрузке и остатках продукции, а также о среднегодовых производственных мощностях организаций по ее выпуску осуществляется по номенклатуре продукции, базирующейся на общероссийских классификаторах продукции: до 2010 года – Общероссийском классификаторе продукции ОК 005-93 (ОКП), с 2010 года – Общероссийском классификаторе продукции по видам экономической деятельности ОК 034-2007 (КПЕС 2002) (ОКПД). Номенклатура продукции размещена на сайте Росстата: в разделе «Статистика». Формируемая Росстатом официальная статистическая информация по Российской Федерации и федеральным округам размещена в ЕМИСС: http://www.fedstat.ru/ \ Федеральная служба государственной статистики \ Обрабатывающие производства \ Производство продукции по видам \ Производство, отгрузка и остатки важнейших видов продукции по установленной номенклатуре http://www.fedstat.ru/ \ Федеральная служба государственной статистики \ Обрабатывающие производства \ Производство продукции по видам \ Баланс производственных мощностей по установленному перечню продукции.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информацию об объемах внешней торговли Российской Федерации по отдельным товарным позициям (в соответствии с единой Товарной номенклатурой внешнеэкономической деятельности Евразийского экономического союза /ТН ВЭД ЕАЭС/)?</w:t>
      </w:r>
    </w:p>
    <w:p>
      <w:pPr>
        <w:rPr/>
      </w:pPr>
      <w:r>
        <w:rPr/>
        <w:t xml:space="preserve">Ответ: Субъектом официального статистического учета, осуществляющим формирование и предоставление заинтересованным пользователям официальной статистической информации об объемах внешней торговли Российской Федерации, является Федеральная таможенная служба. Статистическая информация об объемах внешней торговли размещена на официальном сайте ФТС России http://www.customs.ru в разделе Таможенная статистика.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данные об инфляции?</w:t>
      </w:r>
    </w:p>
    <w:p>
      <w:pPr>
        <w:rPr/>
      </w:pPr>
      <w:r>
        <w:rPr/>
        <w:t xml:space="preserve">Ответ: В соответствии с Федеральным планом статистических работ Росстат разрабатывает показатель Индекс потребительских цен на товары и услуги (ИПЦ), который используется в качестве одного из основных показателей, характеризующих уровень инфляции в Российской Федерации. Официальная статистическая информация об ИПЦ размещена на сайте Росстата в разделе «Статистика». Информация обновляется ежемесячно на 6-й -10-й рабочий день после отчетного периода. Кроме того, начиная с данных за 2002 год, информация размещается в Единой межведомственной информационно-статистической системе (ЕМИСС) по адресу http://www.fedstat.ru/ \ Федеральная служба государственной статистики \ Цены и тарифы \ Индексы потребительских цен (тарифов) на продовольственные, непродовольственные товары и услуги \ Индексы потребительских цен на товары и услуги. В ЕМИСС информация ежемесячно обновляется на 6-й -10-й рабочий день после отчетного периода.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Каков алгоритм расчета индекса потребительских цен (ИПЦ)?</w:t>
      </w:r>
    </w:p>
    <w:p>
      <w:pPr>
        <w:rPr/>
      </w:pPr>
      <w:r>
        <w:rPr/>
        <w:t xml:space="preserve">Ответ: В соответствии с пунктом 1.29.3 Федерального плана статистических работ, утвержденного распоряжением Правительства Российской Федерации от 6 мая 2008 г.            № 671-р, Росстат ежемесячно (по состоянию на конец месяца) формирует и предоставляет пользователям официальную статистическую информацию об индексе потребительских цен на товары и услуги (далее – ИПЦ), который характеризует фактически сложившийся уровень инфляции и рассчитывается по России в целом, федеральным округам и субъектам Российской Федерации. Наблюдение за потребительскими ценами на товары и услуги в целях расчета ИПЦ осуществляется Росстатом на выборочной основе в соответствии с принципами, изложенными в «Официальной статистической методологии наблюдения за потребительскими ценами на товары и услуги и расчета индексов потребительских цен», утвержденной приказом Росстата от 15 декабря 2021 г. № 915 (далее – Методология), разработанной на основе положений Федерального закона от 29 ноября 2007 г. № 282-ФЗ «Об официальном статистическом учете и системе государственной статистики в Российской Федерации», а также международных стандартов. Наблюдение за потребительскими ценами осуществляется по набору товаров (услуг)-представителей ежегодно утверждаемому приказом Росстата. В соответствии с Методологией в наблюдение отбираются товары (услуги)-представители, организации торговли и сферы услуг, отдельные города, в том числе все центры субъектов Российской Федерации. В набор товаров и услуг, разработанный для наблюдения за ценами, включаются товары и услуги массового потребительского спроса. Отбор позиций производится с учетом их относительной важности для потребления населением, представительности и устойчивого наличия в продаже в большинстве субъектов Российской Федерации. Критерием для включения в набор новых товаров (услуг)-представителей является их доля в общих потребительских расходах населения, которая в основном должна составлять не менее 0,1%, за исключением отдельных социально значимых товаров массового спроса, вес которых может составлять менее 0,1% за счет их низкой цены (например, соль, спички, бинты и так далее). Таким образом, ИПЦ, рассчитываемый Росстатом – это макроэкономический показатель, который характеризует динамику цен на потребительском рынке Российской Федерации, отражая изменение цен на покупки всего набора товаров (услуг)-представителей всем населением страны, и является результатом обобщения единичных явлений. В расчете общего ИПЦ по Российской Федерации изменение цен по каждому товару (услуге)-представителю учитывается в соответствии со своей долей в потребительских расходах населения, а также объемах потребления в каждом отдельном субъекте Российской Федерации. Таким образом, влияние изменения цен отдельного товара (услуги)-представителя на общий ИПЦ будет тем больше, чем выше его доля в общих потребительских расходах населения страны или объемах потребления. Более подробно с Методологией, в том числе алгоритмом расчета ИПЦ, можно ознакомиться на официальном сайте Росстата по адресу https://rosstat.gov.ru: Главная страница/Статистика/Официальная статистика/Цены, инфляция/ Методология/ Официальная статистическая методология наблюдения за потребительскими ценами на товары и услуги и расчета индексов потребительских цен.</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информацию об ИПЦ на сайте?</w:t>
      </w:r>
    </w:p>
    <w:p>
      <w:pPr>
        <w:rPr/>
      </w:pPr>
      <w:r>
        <w:rPr/>
        <w:t xml:space="preserve">Ответ: Официальная статистическая информация об ИПЦ по Российской Федерации размещена на официальном сайте Росстата в информационно-телекоммуникационной сети Интернет по адресу https://rosstat.gov.ru: Главная страница/ Статистика/ Официальная статистика/ Цены, инфляция/ Потребительские цены/ Индексы потребительских цен на товары и услуги.Кроме того, официальная статистическая информация об ИПЦ по Российской Федерации, федеральным округам и субъектам Российской Федерации размещена в BI-системе: Главная страница /BI-система /Статистика потребительских цен (ежемесячно);в Витрине статистических данных: Главная страница/ Витрина данных/ Инфляция/ Индекс потребительских цен/ Индексы потребительских цен на товары и услуги/ 11521100300010200001 Индексы потребительских цен на товары и услуги/ Конструктор отчета; в Единой межведомственной информационно-статистической системе (далее – ЕМИСС): выбор на сайте  http://www.fedstat.ru/ осуществляется через систему показателей или можно перейти по ссылке http://www.fedstat.ru/indicator/31074  В вышеуказанных базах данных следует выбрать необходимую информацию по признакам: Классификатор объектов административно-территориального деления (ОКАТО) – Российская Федерация или субъект Российской Федерации; Набор товаров и услуг – товары и услуги; Виды показателя – интересующий показатель; Год – необходимый год; Период – необходимый период. Информация об ИПЦ ежемесячно актуализируется в базах данных на 6 – 10-й рабочий день после отчетного периода.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найти информацию о средних потребительских ценах на конкретные товары / услуги на сайте?</w:t>
      </w:r>
    </w:p>
    <w:p>
      <w:pPr>
        <w:rPr/>
      </w:pPr>
      <w:r>
        <w:rPr/>
        <w:t xml:space="preserve">Ответ: Официальная статистическая информация о средних потребительских ценах на товары и услуги по России в целом, федеральным округам, субъектам Российской Федерации и обследуемым городам размещена в открытом доступе на официальном сайте Росстата в информационно-телекоммуникационной сети Интернет по адресу https://rosstat.gov.ru:в разделе «Цены»: Главная страница/ Статистика/ Официальная статистика/ Цены, инфляция/ Потребительские цены/ Средние потребительские цены на отдельные виды товаров и услуг;в BI-системе: Главная страница /BI-система /Статистика потребительских цен (ежемесячно)/ Средние потребительские цены на продовольственные, непродовольственные товары или услуги;в Витрине статистических данных: Главная страница /Витрина данных /Цены /Средние потребительские цены /Средние потребительские цены (тарифы) на товары и услуги / 11511100200030200003 Средние потребительские цены (тарифы) на товары и услуги по городам / Конструктор отчета;в Единой межведомственной информационно-статистической системе (далее – ЕМИСС): выбор на сайте  http://www.fedstat.ru/ осуществляется через систему показателей или можно перейти по ссылке http://www.fedstat.ru/indicator/31448.В вышеуказанных базах данных следует выбрать необходимую информацию по признакам: Классификатор объектов административно-территориального деления (ОКАТО) – Российская Федерация или субъект Российской Федерации; Набор товаров и услуг – необходимые товары; Год – необходимый год; Период – необходимый период. Информация о средних потребительских ценах на товары и услуги ежемесячно актуализируется в базах данных на 6 – 10-й рабочий день после отчетного периода.</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773173">
    <w:multiLevelType w:val="hybridMultilevel"/>
    <w:lvl w:ilvl="0" w:tplc="20314040">
      <w:start w:val="1"/>
      <w:numFmt w:val="decimal"/>
      <w:lvlText w:val="%1."/>
      <w:lvlJc w:val="left"/>
      <w:pPr>
        <w:ind w:left="720" w:hanging="360"/>
      </w:pPr>
    </w:lvl>
    <w:lvl w:ilvl="1" w:tplc="20314040" w:tentative="1">
      <w:start w:val="1"/>
      <w:numFmt w:val="lowerLetter"/>
      <w:lvlText w:val="%2."/>
      <w:lvlJc w:val="left"/>
      <w:pPr>
        <w:ind w:left="1440" w:hanging="360"/>
      </w:pPr>
    </w:lvl>
    <w:lvl w:ilvl="2" w:tplc="20314040" w:tentative="1">
      <w:start w:val="1"/>
      <w:numFmt w:val="lowerRoman"/>
      <w:lvlText w:val="%3."/>
      <w:lvlJc w:val="right"/>
      <w:pPr>
        <w:ind w:left="2160" w:hanging="180"/>
      </w:pPr>
    </w:lvl>
    <w:lvl w:ilvl="3" w:tplc="20314040" w:tentative="1">
      <w:start w:val="1"/>
      <w:numFmt w:val="decimal"/>
      <w:lvlText w:val="%4."/>
      <w:lvlJc w:val="left"/>
      <w:pPr>
        <w:ind w:left="2880" w:hanging="360"/>
      </w:pPr>
    </w:lvl>
    <w:lvl w:ilvl="4" w:tplc="20314040" w:tentative="1">
      <w:start w:val="1"/>
      <w:numFmt w:val="lowerLetter"/>
      <w:lvlText w:val="%5."/>
      <w:lvlJc w:val="left"/>
      <w:pPr>
        <w:ind w:left="3600" w:hanging="360"/>
      </w:pPr>
    </w:lvl>
    <w:lvl w:ilvl="5" w:tplc="20314040" w:tentative="1">
      <w:start w:val="1"/>
      <w:numFmt w:val="lowerRoman"/>
      <w:lvlText w:val="%6."/>
      <w:lvlJc w:val="right"/>
      <w:pPr>
        <w:ind w:left="4320" w:hanging="180"/>
      </w:pPr>
    </w:lvl>
    <w:lvl w:ilvl="6" w:tplc="20314040" w:tentative="1">
      <w:start w:val="1"/>
      <w:numFmt w:val="decimal"/>
      <w:lvlText w:val="%7."/>
      <w:lvlJc w:val="left"/>
      <w:pPr>
        <w:ind w:left="5040" w:hanging="360"/>
      </w:pPr>
    </w:lvl>
    <w:lvl w:ilvl="7" w:tplc="20314040" w:tentative="1">
      <w:start w:val="1"/>
      <w:numFmt w:val="lowerLetter"/>
      <w:lvlText w:val="%8."/>
      <w:lvlJc w:val="left"/>
      <w:pPr>
        <w:ind w:left="5760" w:hanging="360"/>
      </w:pPr>
    </w:lvl>
    <w:lvl w:ilvl="8" w:tplc="20314040" w:tentative="1">
      <w:start w:val="1"/>
      <w:numFmt w:val="lowerRoman"/>
      <w:lvlText w:val="%9."/>
      <w:lvlJc w:val="right"/>
      <w:pPr>
        <w:ind w:left="6480" w:hanging="180"/>
      </w:pPr>
    </w:lvl>
  </w:abstractNum>
  <w:abstractNum w:abstractNumId="80773172">
    <w:multiLevelType w:val="hybridMultilevel"/>
    <w:lvl w:ilvl="0" w:tplc="45357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773172">
    <w:abstractNumId w:val="80773172"/>
  </w:num>
  <w:num w:numId="80773173">
    <w:abstractNumId w:val="807731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