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Вопросы респондентов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Если организация выплатила заработную плату своим работникам позже срока, установленного коллективным договором, но погасила эту задолженность до 1 числа следующего месяца, отражается ли эта сумма в отчете по форме 3-ф?</w:t>
      </w:r>
    </w:p>
    <w:p>
      <w:pPr>
        <w:rPr/>
      </w:pPr>
      <w:r>
        <w:rPr/>
        <w:t xml:space="preserve">Ответ: Нет, в отчете должна указываться только задолженность, фактически существующая на 1-е число следующего месяца.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По строке 01 формы 3-Ф следует отражать просроченную задолженность по заработной плате с учетом или без учета налога на доходы физических лиц?</w:t>
      </w:r>
    </w:p>
    <w:p>
      <w:pPr>
        <w:rPr/>
      </w:pPr>
      <w:r>
        <w:rPr/>
        <w:t xml:space="preserve">Ответ: В сумму просроченной задолженности по заработной плате обязательно включается налог на доходы физических лиц (НДФЛ) и другие удержания в соответствии с законодательством, но размер задолженности по налогу на доходы физических лиц отражается только на сумму долгов по оплате труда, сложившихся на отчетную дату.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Текущая задолженность что это?</w:t>
      </w:r>
    </w:p>
    <w:p>
      <w:pPr>
        <w:rPr/>
      </w:pPr>
      <w:r>
        <w:rPr/>
        <w:t xml:space="preserve">Ответ: Это фактически начисленные суммы работникам заработной платы, срок выплат, которых еще не наступил. Так по состоянию на 1 июня 2009г текущей является заработная плата, начисленная за май месяц. Просроченной задолженностью на эту дату будет заработная плата, начисленная за апрель, но не выплаченная в течение мая. Текущую задолженность включать в отчет по форме 3-ф не надо.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Включаются ли в состав основных фондов природные ресурсы?</w:t>
      </w:r>
    </w:p>
    <w:p>
      <w:pPr>
        <w:rPr/>
      </w:pPr>
      <w:r>
        <w:rPr/>
        <w:t xml:space="preserve">Ответ: Природные ресурсы в статистике относятся к непроизведенным активам, не включаемым в состав основных фондов (за исключением затрат на их улучшение и приобретение на них прав собственности, относящихся к произведенным активам).    В форме №11 в разделе V «Другие нефинансовые активы»  учитываются лишь те природные ресурсы, которые отвечают определению основных средств в бухгалтерском учете и отражаются в бухгалтерском балансе по статье «Земельные участки и объекты природопользования» группы статей «Основные средства».   Земля и другие природные ресурсы, находящиеся у организаций на условиях аренды и учитываемые на забалансовом счете 001 «Арендованные основные средства», в форме № 11 не учитываются, во избежание двойного учета (и у арендаторов, и у арендодателей). В форме №11(краткая) в справочном разделе учитываются природные ресурсы, стоимость которых отражается в бухгалтерском учете, включая забалансовый счет 01 «Имущество, полученное в пользование».  Это связано с тем, что в данном случае эти природные ресурсы не учитываются другими организациями на балансовых счетах, и двойного учета не возникает.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Как рассчитать средний возраст имеющихся на конец года основных фондов?</w:t>
      </w:r>
    </w:p>
    <w:p>
      <w:pPr>
        <w:rPr/>
      </w:pPr>
      <w:r>
        <w:rPr/>
        <w:t xml:space="preserve">Ответ: В строках 27 - 30 формы №11 и 20-23 формы №11(краткая) в обязательном порядке приводятся результаты оценки организацией среднего возраста основных средств, т.е.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 Под оценкой, осуществляемой отчитывающейся организацией, понимается приблизительная экспертная оценка среднего возраста, по аналогии с подходами конъюнктурных обследований. Если организация имеет несколько зданий, то при оценке их среднего возраста можно использовать «среднюю арифметическую взвешенную», т.е. возраст каждого здания умножить на его долю (в разах) в общей полной учетной стоимости этих зданий. Пример: при наличии 5-х зданий: с полной учетной стоимостью 4 млн.руб. возрастом 60 лет, 3 млн.руб. возрастом 50 лет. 6 млн.руб. возрастом 35 лет, 7 млн.руб. возрастом 15 лет и 15 млн.руб. возрастом 12 лет (общей стоимостью 35 млн. руб.) их средний возраст составит 60х4/35+50х3/365+35х6/35+15х7/35+12х5/35=7+4+6+3+5=25 лет. 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исключая их него менее дорогие объекты. 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 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  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(18+6)/2=12 лет.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Разъясните по форме №11 введённое новое  понятие «поисковых активов».</w:t>
      </w:r>
    </w:p>
    <w:p>
      <w:pPr>
        <w:rPr/>
      </w:pPr>
      <w:r>
        <w:rPr/>
        <w:t xml:space="preserve">Ответ: Понятие «поисковых активов», определено Положением по бухгалтерскому учету «Учет затрат на освоение природных ресурсов» (ПБУ 24/2011). Бухгалтерский учет материальных и нематериальных поисковых активов ведется на счете 08 "Вложения во внеоборотные активы", к которому открываются отдельные субсчета. 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  К материальным поисковым активам относятся используемые в процессе поиска, разведки и оценки месторождений полезных ископаемых: а) сооружения (система трубопроводов и т.д.); б) оборудование (специализированные буровые установки, насосные агрегаты, резервуары и т.д.); в) транспортные средства. В форме №11 они учитываются в составе материальных основных фондов вместе с аналогичными видами основных фондов.  К нематериальным поисковым активам относятся:   а) информация, полученная в результате топографических, геологических и геофизических исследований; б) результаты разведочного бурения; в) результаты отбора образцов; г) иная геологическая информация о недрах; д) оценка коммерческой целесообразности добычи. В форме №11 они учитываются в составе нематериальных основных фондов - объектов интеллектуальной собственности и продуктов интеллектуальной деятельности (стр. 13), относясь к  «разведке недр и оценке запасов полезных ископаемых, включая произведенные нематериальные поисковые активы» (стр. 13.2).  К нематериальным поисковым активам относятся также  права 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и в форме №11 учитываются в разделе V «Другие нефинансовые активы», по строке 60 «Полная учетная стоимость контрактов, договоров аренды, лицензий, отражаемых в бухгалтерском учете в составе нематериальных активов, непроизведенных нематериальных поисковых активов». На полную учетную стоимость поисковых  активов влияют переоценка и обесценение, а на остаточную балансовую -  переоценка, обесценение и износ (амортизация).  Бухгалтерский учет поисковых активов на счете 08 осуществляется до 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 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 11 данная хозяйственная операция должна отражаться в графе 6 раздела I, как ликвидация. Если же организация документально подтверждает коммерческую целесообразность добычи полезных ископаемых, поисковые активы, после проверки на обесценение,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  В форме № 11  поисковые активы и до, и после этого перевода, учитываются в составе материальных и нематериальных основных фондов, по полной учетной  и остаточной балансовой стоимости,  и непроизведенных активов, по полной учетной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активов.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Форма № ПМ - Сведения об основных показателях деятельности малого предприятия. Включаются ли в выплаты социального характера выплаты по временной нетрудоспособности (больничные листы, в том числе по беременности и родам; пособия по уходу за ребенком)</w:t>
      </w:r>
    </w:p>
    <w:p>
      <w:pPr>
        <w:rPr/>
      </w:pPr>
      <w:r>
        <w:rPr/>
        <w:t xml:space="preserve">Ответ: Суммы пособий по временной нетрудоспособности, выплачиваемые за счет средств организации в соответствии с законодательством РФ, не включаются в выплаты социального характера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учитываются лица списочного состава, работающие неполное рабочее время?</w:t>
      </w:r>
    </w:p>
    <w:p>
      <w:pPr>
        <w:rPr/>
      </w:pPr>
      <w:r>
        <w:rPr/>
        <w:t xml:space="preserve">Ответ: Лица, работающие неполное рабочее время в соответствии с трудовым договором или переведенные с письменного согласия работника на работу на неполное рабочее время, при определении среднесписочной численности учитываются пропорционально отработанному времени. Но следует учитывать, что лица, переведенные на неполное рабочее время по инициативе администрации (без письменного согласия работника), учитываются в среднесписочной численности как целые единицы.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Какие категории работников не включаются в списочный состав?</w:t>
      </w:r>
    </w:p>
    <w:p>
      <w:pPr>
        <w:rPr/>
      </w:pPr>
      <w:r>
        <w:rPr/>
        <w:t xml:space="preserve">Ответ: В списочную численность не включаются:  - принятые на работу по совместительству из других организаций; - выполнявшие работу по договорам гражданско-правового характера; - направленные на работу в другую организацию, если за ними не сохраняется заработная плата; - привлеченные для работы согласно специальным договорам (военнослужащие, лица, отбывающие наказание); - направленные на обучение с отрывом от производства; - подавшие заявление об увольнении и прекратившие работу до истечения срока предупреждения; - собственники организации, не получающие заработную плату.</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Какие категории работников списочного состава не включаются в среднесписочную численность?</w:t>
      </w:r>
    </w:p>
    <w:p>
      <w:pPr>
        <w:rPr/>
      </w:pPr>
      <w:r>
        <w:rPr/>
        <w:t xml:space="preserve">Ответ: При определении среднесписочной численности некоторые работники списочной численности не включаются в среднесписочную численность. К ним относятся:  - женщины, находящиеся в отпусках по беременности и родам, по уходу за ребенком; -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в соответствии с законодательством РФ.</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Где показываются суммы по оплате больничных листов?</w:t>
      </w:r>
    </w:p>
    <w:p>
      <w:pPr>
        <w:rPr/>
      </w:pPr>
      <w:r>
        <w:rPr/>
        <w:t xml:space="preserve">Ответ: Пособия по временной нетрудоспособности (оплата больничных листов), за счет средств государственных внебюджетных фондов, а также средств организации (за первых два дня) не учитываются в фонде заработной платы и выплатах социального характера и не включаются в отчет по форме П-4.</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Каким образом малое предприятие, микропредприятие узнает, что необходимо отчитываться по статистической форме?</w:t>
      </w:r>
    </w:p>
    <w:p>
      <w:pPr>
        <w:rPr/>
      </w:pPr>
      <w:r>
        <w:rPr/>
        <w:t xml:space="preserve">Ответ: На сайте Росстата в разделе «Респондентам/Уведомление о кодах по общероссийским классификаторам и перечень форм» можно найти список респондентов в отношении которых ежемесячно, ежеквартально, ежегодно проводятся текущие выборочные наблюдения (с указанием индексов и форм для заполнения, реквизитов их утверждения). Получить актуальный для организации перечень форм федерального статистического наблюдения можно в профильном разделе информационно-поисковой системы http://websbor.gks.ru, указав код по Общероссийскому классификатору предприятий и организаций (ОКПО) или основной государственный регистрационный номер юридического лица (ОГРН). Сведения о перечнях форм актуализируются ежемесячно с учетом периодичности форм (месячная, квартальная, полугодовая, годовая) и необходимости актуализации совокупностей объектов наблюдения. При проведении сплошных наблюдений за деятельностью субъектов малого и среднего предпринимательства (раз в пять лет, проведено за 2010 и 2015 годы, планируется за 2020 год) респонденты информируются различными способами дополнительно. Обследования субъектов малого предпринимательства проводятся в соответствии с Федеральным законом от 24.07.2007 года № 209-ФЗ «О развитии малого и среднего предпринимательства в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узнать, какую статистическую отчётность должна предоставлять наша организация?</w:t>
      </w:r>
    </w:p>
    <w:p>
      <w:pPr>
        <w:rPr/>
      </w:pPr>
      <w:r>
        <w:rPr/>
        <w:t xml:space="preserve">Ответ: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утвержденным постановлением Правительства Российской Федерации от 18.08.2008 № 620 (с изменениями от 22.04.2015 № 381), установлено,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 а также перечня респондентов, в отношении которых проводятся федеральные статистические наблюдения, с указанием индексов и наименований форм, подлежащих предоставлению, реквизитов их утверждения.  На Интернет-портале Росстата имеется специальный раздел Информация для респондентов . В подрубрике Перечень респондентов,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  Для получения перечня форм федерального статистического наблюдения, относящегося к конкретной организации (респонденту) необходимо обратиться к информационно-поисковой системе по адресу: http://websbor.gks.ru («Получить данные о кодах и формах»). После указания кода по Общероссийскому классификатору предприятий и организаций (ОКПО) или ОГРН и ввода защитного кода по кнопке «Перечень форм» формируется перечень форм федерального статистического наблюдения, подлежащих представлению организацией.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 или на сайт территориального органа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об общероссийских классификаторах?</w:t>
      </w:r>
    </w:p>
    <w:p>
      <w:pPr>
        <w:rPr/>
      </w:pPr>
      <w:r>
        <w:rPr/>
        <w:t xml:space="preserve">Ответ: Информация об общероссийских классификаторах (ОКВЭД, ОКПД, ОКТМО, ОКОПФ) размещена на сайте Росстата в разделе Информация для респондентов: http://rosstat.gov.ru/classification.  В составе каждого классификатора содержится Введение, в котором дано описание принципов построения классификатора и порядок его ведения.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 присвоенных кодах?</w:t>
      </w:r>
    </w:p>
    <w:p>
      <w:pPr>
        <w:rPr/>
      </w:pPr>
      <w:r>
        <w:rPr/>
        <w:t xml:space="preserve">Ответ: Хозяйствующие субъекты могут получить информацию о  кодах по общероссийским классификаторам технико-экономической и социальной информации (ОК ТЭИ), установленных органами государственной статистики, по адресу http://websbor.gks.ru («Получить данные о кодах и формах»)»</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какой периодичностью, по каким формам и какими методами обследуются субъекты малого предпринимательства?</w:t>
      </w:r>
    </w:p>
    <w:p>
      <w:pPr>
        <w:rPr/>
      </w:pPr>
      <w:r>
        <w:rPr/>
        <w:t xml:space="preserve">Ответ: Обследования субъектов малого и среднего предпринимательства проводятся ежемесячно, ежеквартально, ежегодно в форме текущих выборочных наблюдений на основе представительной (репрезентативной) выборки. А также один раз в пять лет (за 2010, 2015, 2020 годы) в форме сплошных наблюдений за деятельностью субъектов малого предпринимательства. Выборочные совокупности малых и микропредприятий, индивидуальных предпринимателей для участия в обследованиях формируются ежегодно по специально разработанному алгоритму.  Малые предприятия ежеквартально заполняют унифицированную форму федерального статистического наблюдения № ПМ «Сведения об основных показателях деятельности малого предприятия».  Микропредприятия и индивидуальные предприниматели обследуются ежегодно по формам № МП(микро) «Сведения об основных показателях деятельности микропредприятия» и № 1-ИП «Сведения о деятельности индивидуального предпринимателя». Кроме того, участники обследования заполняют специализированные формы статистических наблюдений.  Сплошному наблюдению подлежат все малые и микропредприятия, индивидуальные предприниматели, включенные в Единый реестр субъектов малого и среднего предпринимательства.  Малые и микропредприятия отчитываются по форме № МП-сп «Сведения об основных показателях деятельности малого предприятия  за 20__ год».  Индивидуальные - по форме № 1-предприниматель «Сведения о деятельности индивидуального предпринимателя за 20__год». Отчет предоставляется в электронном виде или на бумажном носителе. Обследования субъектов малого и среднего предпринимательства проводятся в соответствии с Федеральным законом от 24.07.2007 года № 209-ФЗ «О развитии малого и среднего предпринимательства в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Какая статистическая отчетность предусмотрена для индивидуального предпринимателя?</w:t>
      </w:r>
    </w:p>
    <w:p>
      <w:pPr>
        <w:rPr/>
      </w:pPr>
      <w:r>
        <w:rPr/>
        <w:t xml:space="preserve">Ответ: Индивидуальные предприниматели обследуются в сплошном режиме (раз в пять лет, очередной за 2020 год) по форме № 1-предприниматель «Сведения о деятельности индивидуального предпринимателя за 20__год». На выборочной основе (ежегодно)  по форме № 1-ИП «Сведения о деятельности индивидуального предпринимателя».  Также участники обследования заполняют специализированные формы статистических наблюдений в зависимости от вида деятельности (например, в сфере промышленности, торговли, строительства и др.).  Получить актуальный для организации перечень форм текущего выборочного наблюдения можно в профильном разделе информационно-поисковой системы http://websbor.gks.ru, указав код по Общероссийскому классификатору предприятий и организаций (ОКПО) или основного государственного регистрационного номера индивидуального предпринимателя (ОГРНИП). Отчет представляется в электронном виде или на бумажном носителе.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 Отчетность предоставляется в соответствии с Федеральным законом от 24.07.2007 № 209-ФЗ «О развитии малого и среднего предпринимательства в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Форма № ПМ - Сведения об основных показателях деятельности малого предприятия. Организация продала транспортное средство, числящееся у него на балансе, включать ли его в отгрузку товаров, работ, услуг?</w:t>
      </w:r>
    </w:p>
    <w:p>
      <w:pPr>
        <w:rPr/>
      </w:pPr>
      <w:r>
        <w:rPr/>
        <w:t xml:space="preserve">Ответ: Доходы, получаемые от продажи основных средств, в строку 6 не включаются, так как относятся к «прочим операционным доходам».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Если организация находится в стадии конкурсного производства, то при наличии просроченной задолженности по заработной плате перед своими работниками, обязана ли она представлять отчет по форме 3-ф?</w:t>
      </w:r>
    </w:p>
    <w:p>
      <w:pPr>
        <w:rPr/>
      </w:pPr>
      <w:r>
        <w:rPr/>
        <w:t xml:space="preserve">Ответ: Да обязана. В соответствии со ст.22 Трудового кодекса РФ работодатель обязан выплатить заработную плату работнику за выполненную работу, вплоть до полной ликвидации юридического лица.  Сбор данных (по форме 3-ф) о просроченной задолженности по организациям, в том числе находящихся в стадии конкурсного производства, в силу смысла ст.45, ст.55 Конституции РФ, представляет определенный интерес государства. Данное обстоятельство предполагает право государства контролировать и принимать действенные меры к работодателям по снижению и ликвидации задолженности по заработной плате.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3-Ф Сведения о просроченной задолженности по заработной плате. Включать ли в отчет по форме 3-ф депонированную заработную плату?</w:t>
      </w:r>
    </w:p>
    <w:p>
      <w:pPr>
        <w:rPr/>
      </w:pPr>
      <w:r>
        <w:rPr/>
        <w:t xml:space="preserve">Ответ: Нет. Депонированная заработная плата – денежные средства, которые не были полученные в установленный срок работником по каким либо причинам, эти суммы подлежат депонированию и сдачи на расчетный счет предприятия в банк. В форме 3-ф показываются долги по заработной плате перед работниками предприятия, не выплаченные по вине работодателя.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Форма № ПМ - Сведения об основных показателях деятельности малого предприятия. Какие расходы на приобретение товаров отражаются по строке 11?</w:t>
      </w:r>
    </w:p>
    <w:p>
      <w:pPr>
        <w:rPr/>
      </w:pPr>
      <w:r>
        <w:rPr/>
        <w:t xml:space="preserve">Ответ: По строке 11 отражается только стоимость приобретенных в отчетном периоде товаров для перепродажи (дебет 41счета).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Где показывается компенсация за неиспользованный отпуск - в фонде заработной платы или выплатах социального характера?</w:t>
      </w:r>
    </w:p>
    <w:p>
      <w:pPr>
        <w:rPr/>
      </w:pPr>
      <w:r>
        <w:rPr/>
        <w:t xml:space="preserve">Ответ: Компенсация за неиспользованный отпуск учитывается в фонде заработной платы.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Что включается в выплаты социального характера?</w:t>
      </w:r>
    </w:p>
    <w:p>
      <w:pPr>
        <w:rPr/>
      </w:pPr>
      <w:r>
        <w:rPr/>
        <w:t xml:space="preserve">Ответ: К выплатам социального характера относятся:  - выходное пособие; - единовременная материальная помощь, предоставленная отдельным работникам по семейным обстоятельствам; - оплата стоимости проезда к месту отдыха и обратно для работающих в районах Крайнего Севера и приравненных местностей; - компенсации и суммы, начисленные уволенным работникам на период трудоустройства в связи с сокращением численности или ликвидацией предприятия; - единовременные пособия и выплаты при выходе на пенсию, при увольнении; - страховые платежи (взносы), уплачиваемые организацией за работников по добровольному страхованию; - компенсации и льготы, выплачиваемые работникам, подвергшимся радиационному воздействию; - оплата путевок работникам на отдых и лечение за счет средств организации, оплата занятий в спортивных секциях, группах здоровья; - оплата подписки, стоимость подарков и билетов на зрелищные мероприятия детям работников за счет средств организации; - оплата стоимости проезда к месту работы и обратно.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учитывать женщин, которые оформили больничный лист по беременности и родам?</w:t>
      </w:r>
    </w:p>
    <w:p>
      <w:pPr>
        <w:rPr/>
      </w:pPr>
      <w:r>
        <w:rPr/>
        <w:t xml:space="preserve">Ответ: Женщина, оформившая больничный лист по беременности и родам в среднесписочной численности не учитывается, но в списочной численности ее следует учитывать.</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рассчитывается среднесписочная численность работников списочного состава?</w:t>
      </w:r>
    </w:p>
    <w:p>
      <w:pPr>
        <w:rPr/>
      </w:pPr>
      <w:r>
        <w:rPr/>
        <w:t xml:space="preserve">Ответ: Среднесписочная численность работников 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полученной суммы на число календарных дней месяца.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определить среднегодовую численность, если организация работала неполный год?</w:t>
      </w:r>
    </w:p>
    <w:p>
      <w:pPr>
        <w:rPr/>
      </w:pPr>
      <w:r>
        <w:rPr/>
        <w:t xml:space="preserve">Ответ: Если организация работала неполный год (сезонный характер работы,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Формы статотчетности по основным фондам. Уточните содержание понятия «информационное, компьютерное и телекоммуникационное оборудование».</w:t>
      </w:r>
    </w:p>
    <w:p>
      <w:pPr>
        <w:rPr/>
      </w:pPr>
      <w:r>
        <w:rPr/>
        <w:t xml:space="preserve">Ответ: По строке 06 (формы №№11,11(краткая)) учитываются  машины и оборудование, в строке 07 выделяется информационное, компьютерное и телекоммуникационное оборудование, т.е.:  - информационное оборудование, относящееся к информационной и коммуникационной инфраструктуре; - компьютерное оборудование (вычислительная техника) и оргтехника; - телекоммуникационное оборудование. В строке 08 из ИКТ- оборудования выделяется вычислительная техника (компьютерное оборудование) – код ОКОФ 14 3020000, и оргтехника -  коды ОКОФ 14 3010010, 14 3010020, 14 3010030, 14 3010040, офисные АТС. В строке 08.1 из ИКТ- оборудования выделяются средства радиосвязи, радиовещания и телевидения (телекоммуникационное оборудование) – код ОКОФ 14 3221010.  В строке 07 учитывается также остальное ИКТ-оборудование, не относящееся к компьютерному и телекоммуникационному оборудованию, т.е. собственно информационное оборудование, которое представляет собой составную часть информационных и коммуникационных инфраструктур, совокупность оборудования, применяемую в  информационно-коммуникационных технологиях для передачи и обработки информации. К нему относятся следующие коды по ОКОФ, и входящие в них коды более низкой иерархии:   [Код ОКОФ/ Вид основных фондов]  [14 3010210 / Средства светокопирования ] [14 3010220 / Средства фотокопирования и микрофотокопирования ] [14 3010230 / Средства электрофотографического копирования]  [14 3010240 / Средства электроискрового копирования]  [14 3010250 / Аппараты термокопирования ] [14 3230000 / Аппаратура теле - и радиоприемная ] [14 3322020 / Камеры фотографические, кинокамеры ] [14 3322030 / Проекторы, кинопроекторы (кроме считывающих устройств для микроформ)]  В ИКТ оборудование  не включаются: а) оборудование, используемое для отображения информации, но не  основанное на применении средств микроэлектроники (например, театрально-сценическое оборудование); б) оборудование, не относящееся к вычислительной технике, оргтехнике, средствам радиосвязи, радиовещания и телевидения, информационно-коммуникационной  инфраструктуре - банкоматы, платежные терминалы, медицинские приборы и оборудование, электромузыкальные инструменты, системы видеонаблюдения, используемые в пожарной и охранной сигнализации и  целях контроля технологических процессов.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отражаются численность и оплата труда работника, состоящего в списочном составе организации, если он заключил с этой же организацией договор гражданско-правового характера или работает внутренним совместителем?</w:t>
      </w:r>
    </w:p>
    <w:p>
      <w:pPr>
        <w:rPr/>
      </w:pPr>
      <w:r>
        <w:rPr/>
        <w:t xml:space="preserve">Ответ: Такие работники учитывается один раз в среднесписочной численности. Соответственно, данные по заработной плате (как по основной, так и по дополнительной работе) показываются в фонде заработной платы работников списочного состава.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 П-4 Сведения о численности, заработной плате и движении работников. Как рассчитывается средняя численность внешних совместителей?</w:t>
      </w:r>
    </w:p>
    <w:p>
      <w:pPr>
        <w:rPr/>
      </w:pPr>
      <w:r>
        <w:rPr/>
        <w:t xml:space="preserve">Ответ: Средняя численность внешних совместителей исчисляется пропорционально фактически отработанному времени. В связи с тем, что эти сведения могут составлять незначительную величину, то допускается заполнение этих данных с одним десятичным знаком.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О статистике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 узнать сроки выхода официальных публикаций Росстата и оперативных статистических данных?</w:t>
      </w:r>
    </w:p>
    <w:p>
      <w:pPr>
        <w:rPr/>
      </w:pPr>
      <w:r>
        <w:rPr/>
        <w:t xml:space="preserve">Ответ: Периодичность и сроки выпуска официальных статистических публикаций установлены Федеральным планом статистических работ, так же как и сроки выхода официальной статистической информации, в том числе оперативной. . Сроки выпуска на текущий год отражены в «Плане-графике подготовки и размещения официальных статистических публикаций Росстата», который размещен на Интернет-портале Росстата в разделе «Публикации / План выпуска публикаций". Оперативные статистические данные публикуются в ежемесячно издаваемых публикациях: оперативном докладе «Информация о социально-экономическом положении России», докладе «Социально-экономическое положение России», бюллетене «Информация для ведения мониторинга социально-экономического положения субъектов Российской Федерации», в других бюллетенях, электронные версии которых размещены на Интернет-портале Росстата в разделе «Публикации / Каталог публикаций/ Периодические издания. Наиболее оперативно данные Росстата публикуются в «Срочных информациях» и справках по актуальным вопросам.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информацию об объеме промышленного производства (в стоимостном выражении)?</w:t>
      </w:r>
    </w:p>
    <w:p>
      <w:pPr>
        <w:rPr/>
      </w:pPr>
      <w:r>
        <w:rPr/>
        <w:t xml:space="preserve">Ответ: Росстатом вместо показателя «Объем промышленного производства» с 2005 года разрабатывается показатель «Отгружено товаров собственного производства, выполнено работ и услуг собственными силами» в действующих ценах по фактическим («чистым») видам экономической деятельности разделов «Добыча полезных ископаемых», «Обрабатывающие производства», «Производство и распределение электроэнергии, газа и воды» Общероссийского классификатора видов экономической деятельности (ОКВЭД). Статистическая информация по показателю «Отгружено товаров собственного производства, выполнено работ и услуг собственными силами» размещена на официальном сайте Росстата: в разделе «Статистика» в публикациях Росстата в разделе «Публикации» в ЕМИСС – \ Федеральная служба государственной статистики \ Добыча полезных ископаемых (Обрабатывающие производства, Производство и распределение электроэнергии, газа и воды) \ Объем отгруженной продукции (работ, услуг) в действующих ценах организаций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можно найти на сайте Росстата информацию о производстве, отгрузке, остатках отдельных видов продукции в натуральном выражении? По каким видам продукции эта информация разрабатывается?</w:t>
      </w:r>
    </w:p>
    <w:p>
      <w:pPr>
        <w:rPr/>
      </w:pPr>
      <w:r>
        <w:rPr/>
        <w:t xml:space="preserve">Ответ: Ответ: Формирование официальной статистической информации о производстве, отгрузке и остатках продукции, а также о среднегодовых производственных мощностях организаций по ее выпуску осуществляется по номенклатуре продукции, базирующейся на общероссийских классификаторах продукции: до 2010 года – Общероссийском классификаторе продукции ОК 005-93 (ОКП), с 2010 года – Общероссийском классификаторе продукции по видам экономической деятельности ОК 034-2007 (КПЕС 2002) (ОКПД). Номенклатура продукции размещена на сайте Росстата: в разделе «Статистика». Формируемая Росстатом официальная статистическая информация по Российской Федерации и федеральным округам размещена в ЕМИСС: http://www.fedstat.ru/ \ Федеральная служба государственной статистики \ Обрабатывающие производства \ Производство продукции по видам \ Производство, отгрузка и остатки важнейших видов продукции по установленной номенклатуре http://www.fedstat.ru/ \ Федеральная служба государственной статистики \ Обрабатывающие производства \ Производство продукции по видам \ Баланс производственных мощностей по установленному перечню продукции.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об объемах внешней торговли Российской Федерации по отдельным товарным позициям (в соответствии с единой Товарной номенклатурой внешнеэкономической деятельности Евразийского экономического союза /ТН ВЭД ЕАЭС/)?</w:t>
      </w:r>
    </w:p>
    <w:p>
      <w:pPr>
        <w:rPr/>
      </w:pPr>
      <w:r>
        <w:rPr/>
        <w:t xml:space="preserve">Ответ: Субъектом официального статистического учета, осуществляющим формирование и предоставление заинтересованным пользователям официальной статистической информации об объемах внешней торговли Российской Федерации, является Федеральная таможенная служба. Статистическая информация об объемах внешней торговли размещена на официальном сайте ФТС России http://www.customs.ru в разделе Таможенная статистика.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данные об инфляции?</w:t>
      </w:r>
    </w:p>
    <w:p>
      <w:pPr>
        <w:rPr/>
      </w:pPr>
      <w:r>
        <w:rPr/>
        <w:t xml:space="preserve">Ответ: В соответствии с Федеральным планом статистических работ Росстат разрабатывает показатель Индекс потребительских цен на товары и услуги (ИПЦ), который используется в качестве одного из основных показателей, характеризующих уровень инфляции в Российской Федерации. Официальная статистическая информация об ИПЦ размещена на сайте Росстата в разделе «Статистика». Информация обновляется ежемесячно на 6-й -10-й рабочий день после отчетного периода. Кроме того, начиная с данных за 2002 год, информация размещается в Единой межведомственной информационно-статистической системе (ЕМИСС) по адресу http://www.fedstat.ru/ \ Федеральная служба государственной статистики \ Цены и тарифы \ Индексы потребительских цен (тарифов) на продовольственные, непродовольственные товары и услуги \ Индексы потребительских цен на товары и услуги. В ЕМИСС информация ежемесячно обновляется на 6-й -10-й рабочий день после отчетного периода.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Каков алгоритм расчета индекса потребительских цен (ИПЦ)?</w:t>
      </w:r>
    </w:p>
    <w:p>
      <w:pPr>
        <w:rPr/>
      </w:pPr>
      <w:r>
        <w:rPr/>
        <w:t xml:space="preserve">Ответ: В соответствии с пунктом 1.29.3 Федерального плана статистических работ, утвержденного распоряжением Правительства Российской Федерации от 6 мая 2008 г.            № 671-р, Росстат ежемесячно (по состоянию на конец месяца) формирует и предоставляет пользователям официальную статистическую информацию об индексе потребительских цен на товары и услуги (далее – ИПЦ), который характеризует фактически сложившийся уровень инфляции и рассчитывается по России в целом, федеральным округам и субъектам Российской Федерации. Наблюдение за потребительскими ценами на товары и услуги в целях расчета ИПЦ осуществляется Росстатом на выборочной основе в соответствии с принципами, изложенными в «Официальной статистической методологии наблюдения за потребительскими ценами на товары и услуги и расчета индексов потребительских цен», утвержденной приказом Росстата от 15 декабря 2021 г. № 915 (далее – Методология), разработанной на основе положений Федерального закона от 29 ноября 2007 г. № 282-ФЗ «Об официальном статистическом учете и системе государственной статистики в Российской Федерации», а также международных стандартов. Наблюдение за потребительскими ценами осуществляется по набору товаров (услуг)-представителей ежегодно утверждаемому приказом Росстата. В соответствии с Методологией в наблюдение отбираются товары (услуги)-представители, организации торговли и сферы услуг, отдельные города, в том числе все центры субъектов Российской Федерации. В набор товаров и услуг, разработанный для наблюдения за ценами, включаются товары и услуги массового потребительского спроса. Отбор позиций производится с учетом их относительной важности для потребления населением, представительности и устойчивого наличия в продаже в большинстве субъектов Российской Федерации. Критерием для включения в набор новых товаров (услуг)-представителей является их доля в общих потребительских расходах населения, которая в основном должна составлять не менее 0,1%, за исключением отдельных социально значимых товаров массового спроса, вес которых может составлять менее 0,1% за счет их низкой цены (например, соль, спички, бинты и так далее). Таким образом, ИПЦ, рассчитываемый Росстатом – это макроэкономический показатель, который характеризует динамику цен на потребительском рынке Российской Федерации, отражая изменение цен на покупки всего набора товаров (услуг)-представителей всем населением страны, и является результатом обобщения единичных явлений. В расчете общего ИПЦ по Российской Федерации изменение цен по каждому товару (услуге)-представителю учитывается в соответствии со своей долей в потребительских расходах населения, а также объемах потребления в каждом отдельном субъекте Российской Федерации. Таким образом, влияние изменения цен отдельного товара (услуги)-представителя на общий ИПЦ будет тем больше, чем выше его доля в общих потребительских расходах населения страны или объемах потребления. Более подробно с Методологией, в том числе алгоритмом расчета ИПЦ, можно ознакомиться на официальном сайте Росстата по адресу https://rosstat.gov.ru: Главная страница/Статистика/Официальная статистика/Цены, инфляция/ Методология/ Официальная статистическая методология наблюдения за потребительскими ценами на товары и услуги и расчета индексов потребительских цен.</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об ИПЦ на сайте?</w:t>
      </w:r>
    </w:p>
    <w:p>
      <w:pPr>
        <w:rPr/>
      </w:pPr>
      <w:r>
        <w:rPr/>
        <w:t xml:space="preserve">Ответ: Официальная статистическая информация об ИПЦ по Российской Федерации размещена на официальном сайте Росстата в информационно-телекоммуникационной сети Интернет по адресу https://rosstat.gov.ru: Главная страница/ Статистика/ Официальная статистика/ Цены, инфляция/ Потребительские цены/ Индексы потребительских цен на товары и услуги.Кроме того, официальная статистическая информация об ИПЦ по Российской Федерации, федеральным округам и субъектам Российской Федерации размещена в BI-системе: Главная страница /BI-система /Статистика потребительских цен (ежемесячно);в Витрине статистических данных: Главная страница/ Витрина данных/ Инфляция/ Индекс потребительских цен/ Индексы потребительских цен на товары и услуги/ 11521100300010200001 Индексы потребительских цен на товары и услуги/ Конструктор отчета; в Единой межведомственной информационно-статистической системе (далее – ЕМИСС): выбор на сайте  http://www.fedstat.ru/ осуществляется через систему показателей или можно перейти по ссылке http://www.fedstat.ru/indicator/31074  В вышеуказанных базах данных следует выбрать необходимую информацию по признакам: Классификатор объектов административно-территориального деления (ОКАТО) – Российская Федерация или субъект Российской Федерации; Набор товаров и услуг – товары и услуги; Виды показателя – интересующий показатель; Год – необходимый год; Период – необходимый период. Информация об ИПЦ ежемесячно актуализируется в базах данных на 6 – 10-й рабочий день после отчетного периода.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Где найти информацию о средних потребительских ценах на конкретные товары / услуги на сайте?</w:t>
      </w:r>
    </w:p>
    <w:p>
      <w:pPr>
        <w:rPr/>
      </w:pPr>
      <w:r>
        <w:rPr/>
        <w:t xml:space="preserve">Ответ: Официальная статистическая информация о средних потребительских ценах на товары и услуги по России в целом, федеральным округам, субъектам Российской Федерации и обследуемым городам размещена в открытом доступе на официальном сайте Росстата в информационно-телекоммуникационной сети Интернет по адресу https://rosstat.gov.ru:в разделе «Цены»: Главная страница/ Статистика/ Официальная статистика/ Цены, инфляция/ Потребительские цены/ Средние потребительские цены на отдельные виды товаров и услуг;в BI-системе: Главная страница /BI-система /Статистика потребительских цен (ежемесячно)/ Средние потребительские цены на продовольственные, непродовольственные товары или услуги;в Витрине статистических данных: Главная страница /Витрина данных /Цены /Средние потребительские цены /Средние потребительские цены (тарифы) на товары и услуги / 11511100200030200003 Средние потребительские цены (тарифы) на товары и услуги по городам / Конструктор отчета;в Единой межведомственной информационно-статистической системе (далее – ЕМИСС): выбор на сайте  http://www.fedstat.ru/ осуществляется через систему показателей или можно перейти по ссылке http://www.fedstat.ru/indicator/31448.В вышеуказанных базах данных следует выбрать необходимую информацию по признакам: Классификатор объектов административно-территориального деления (ОКАТО) – Российская Федерация или субъект Российской Федерации; Набор товаров и услуг – необходимые товары; Год – необходимый год; Период – необходимый период. Информация о средних потребительских ценах на товары и услуги ежемесячно актуализируется в базах данных на 6 – 10-й рабочий день после отчетного периода.</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046030">
    <w:multiLevelType w:val="hybridMultilevel"/>
    <w:lvl w:ilvl="0" w:tplc="30761121">
      <w:start w:val="1"/>
      <w:numFmt w:val="decimal"/>
      <w:lvlText w:val="%1."/>
      <w:lvlJc w:val="left"/>
      <w:pPr>
        <w:ind w:left="720" w:hanging="360"/>
      </w:pPr>
    </w:lvl>
    <w:lvl w:ilvl="1" w:tplc="30761121" w:tentative="1">
      <w:start w:val="1"/>
      <w:numFmt w:val="lowerLetter"/>
      <w:lvlText w:val="%2."/>
      <w:lvlJc w:val="left"/>
      <w:pPr>
        <w:ind w:left="1440" w:hanging="360"/>
      </w:pPr>
    </w:lvl>
    <w:lvl w:ilvl="2" w:tplc="30761121" w:tentative="1">
      <w:start w:val="1"/>
      <w:numFmt w:val="lowerRoman"/>
      <w:lvlText w:val="%3."/>
      <w:lvlJc w:val="right"/>
      <w:pPr>
        <w:ind w:left="2160" w:hanging="180"/>
      </w:pPr>
    </w:lvl>
    <w:lvl w:ilvl="3" w:tplc="30761121" w:tentative="1">
      <w:start w:val="1"/>
      <w:numFmt w:val="decimal"/>
      <w:lvlText w:val="%4."/>
      <w:lvlJc w:val="left"/>
      <w:pPr>
        <w:ind w:left="2880" w:hanging="360"/>
      </w:pPr>
    </w:lvl>
    <w:lvl w:ilvl="4" w:tplc="30761121" w:tentative="1">
      <w:start w:val="1"/>
      <w:numFmt w:val="lowerLetter"/>
      <w:lvlText w:val="%5."/>
      <w:lvlJc w:val="left"/>
      <w:pPr>
        <w:ind w:left="3600" w:hanging="360"/>
      </w:pPr>
    </w:lvl>
    <w:lvl w:ilvl="5" w:tplc="30761121" w:tentative="1">
      <w:start w:val="1"/>
      <w:numFmt w:val="lowerRoman"/>
      <w:lvlText w:val="%6."/>
      <w:lvlJc w:val="right"/>
      <w:pPr>
        <w:ind w:left="4320" w:hanging="180"/>
      </w:pPr>
    </w:lvl>
    <w:lvl w:ilvl="6" w:tplc="30761121" w:tentative="1">
      <w:start w:val="1"/>
      <w:numFmt w:val="decimal"/>
      <w:lvlText w:val="%7."/>
      <w:lvlJc w:val="left"/>
      <w:pPr>
        <w:ind w:left="5040" w:hanging="360"/>
      </w:pPr>
    </w:lvl>
    <w:lvl w:ilvl="7" w:tplc="30761121" w:tentative="1">
      <w:start w:val="1"/>
      <w:numFmt w:val="lowerLetter"/>
      <w:lvlText w:val="%8."/>
      <w:lvlJc w:val="left"/>
      <w:pPr>
        <w:ind w:left="5760" w:hanging="360"/>
      </w:pPr>
    </w:lvl>
    <w:lvl w:ilvl="8" w:tplc="30761121" w:tentative="1">
      <w:start w:val="1"/>
      <w:numFmt w:val="lowerRoman"/>
      <w:lvlText w:val="%9."/>
      <w:lvlJc w:val="right"/>
      <w:pPr>
        <w:ind w:left="6480" w:hanging="180"/>
      </w:pPr>
    </w:lvl>
  </w:abstractNum>
  <w:abstractNum w:abstractNumId="19046029">
    <w:multiLevelType w:val="hybridMultilevel"/>
    <w:lvl w:ilvl="0" w:tplc="89756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46029">
    <w:abstractNumId w:val="19046029"/>
  </w:num>
  <w:num w:numId="19046030">
    <w:abstractNumId w:val="190460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