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DA" w:rsidRDefault="004034DA" w:rsidP="004034DA">
      <w:pPr>
        <w:spacing w:after="0" w:line="336" w:lineRule="auto"/>
        <w:jc w:val="center"/>
        <w:rPr>
          <w:rFonts w:ascii="Arial" w:eastAsia="Times New Roman" w:hAnsi="Arial" w:cs="Arial"/>
          <w:b/>
          <w:bCs/>
          <w:color w:val="2E4FAE"/>
          <w:sz w:val="21"/>
          <w:szCs w:val="21"/>
          <w:lang w:eastAsia="ru-RU"/>
        </w:rPr>
      </w:pPr>
      <w:r w:rsidRPr="004034DA">
        <w:rPr>
          <w:rFonts w:ascii="Arial" w:eastAsia="Times New Roman" w:hAnsi="Arial" w:cs="Arial"/>
          <w:b/>
          <w:bCs/>
          <w:color w:val="2E4FAE"/>
          <w:sz w:val="21"/>
          <w:szCs w:val="21"/>
          <w:lang w:eastAsia="ru-RU"/>
        </w:rPr>
        <w:t xml:space="preserve">Краткие методологические пояснения </w:t>
      </w:r>
    </w:p>
    <w:p w:rsidR="00335516" w:rsidRPr="004034DA" w:rsidRDefault="00335516" w:rsidP="004034DA">
      <w:pPr>
        <w:spacing w:after="0" w:line="336" w:lineRule="auto"/>
        <w:jc w:val="center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  <w:bookmarkStart w:id="0" w:name="_GoBack"/>
      <w:bookmarkEnd w:id="0"/>
    </w:p>
    <w:p w:rsidR="005043B6" w:rsidRDefault="004034DA" w:rsidP="00DF10A2">
      <w:pPr>
        <w:spacing w:after="0" w:line="336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34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Оборот розничной торговли</w:t>
      </w:r>
      <w:r w:rsidRPr="004034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представляет собой </w:t>
      </w:r>
      <w:r w:rsidR="00DF10A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выручку от продажи товаров</w:t>
      </w:r>
      <w:r w:rsidRPr="004034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населению для личного потребления или использования в домашнем хозяйстве</w:t>
      </w:r>
      <w:r w:rsidR="00DF10A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 наличный расчет или оплаченных по кредитным карточкам, по расчетным чекам банков, по перечислениям со счетов вкладчиков, по поручению физических лиц без открытия счета, посредством платежных карт (электронных денег)</w:t>
      </w:r>
      <w:r w:rsidRPr="004034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</w:p>
    <w:p w:rsidR="005043B6" w:rsidRPr="005043B6" w:rsidRDefault="005043B6" w:rsidP="005043B6">
      <w:pPr>
        <w:spacing w:after="0" w:line="336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5043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оборот розничной торговли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также </w:t>
      </w:r>
      <w:r w:rsidRPr="005043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включаются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Pr="005043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стоимость товаров, проданных по договорам комиссии (поручения или агентским договорам) по моменту продажи в размере полной стоимости товаров, включая вознаграждение; полная стоимость товаров, проданных в кредит (по моменту отпуска товаров покупателям); стоимость товаров длительного пользования, проданных по образцам (по времени выписки счета-фактуры или доставки покупателю, независимо от времени фактической оплаты товара покупателем);</w:t>
      </w:r>
      <w:proofErr w:type="gramEnd"/>
      <w:r w:rsidRPr="005043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стоимость товаров, проданных при помощи информационно-коммуникационной сети «Интернет» по времени выписки счета-фактуры или доставки покупателю, независимо от формы расчета и времени фактической оплаты товара покупателем; стоимость товаров, проданных по почте; стоимость товаров, проданных через торговые автоматы; полная стоимость лекарственных средств, отпущенных отдельным категориям граждан бесплатно или по льготным рецептам; полная стоимость товаров, проданных отдельным категориям населения со скидкой (угля, газа в баллонах, древесного топлива и тому подобное); стоимость проданных по подписке печатных изданий (по моменту выписки счета, без учета стоимости доставки);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5043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стоимость упаковки, имеющей продажную цену, не входящую в цену товара; стоимость проданной порожней тары.</w:t>
      </w:r>
    </w:p>
    <w:p w:rsidR="005043B6" w:rsidRPr="001118CB" w:rsidRDefault="005043B6" w:rsidP="001118CB">
      <w:pPr>
        <w:spacing w:after="0" w:line="336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18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 включаются в оборот розничной торговли: стоимость товаров, выданных своим работникам в счет оплаты труда; стоимость объектов недвижимости; стоимость проданных товаров, не выдержавших гарантийных сроков службы; стоимость проездных билетов, талонов на все виды транспорта, лотерейных билетов, телефонных карт, карт </w:t>
      </w:r>
      <w:proofErr w:type="gramStart"/>
      <w:r w:rsidRPr="001118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экспресс-оплаты</w:t>
      </w:r>
      <w:proofErr w:type="gramEnd"/>
      <w:r w:rsidRPr="001118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услуг связи;</w:t>
      </w:r>
      <w:r w:rsidR="001118CB" w:rsidRPr="001118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1118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стоимость товаров, отпущенных через розничную торговую сеть юридическим лицам (в том числе и организациям социальной сферы, </w:t>
      </w:r>
      <w:proofErr w:type="spellStart"/>
      <w:r w:rsidRPr="001118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спецпотребителям</w:t>
      </w:r>
      <w:proofErr w:type="spellEnd"/>
      <w:r w:rsidRPr="001118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тому подобное) и индивидуальным предпринимателям</w:t>
      </w:r>
      <w:r w:rsidR="001118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034DA" w:rsidRPr="004034DA" w:rsidRDefault="004034DA" w:rsidP="00DF10A2">
      <w:pPr>
        <w:spacing w:after="0" w:line="336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34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Индекс физического объема оборота розничной торговли</w:t>
      </w:r>
      <w:r w:rsidRPr="004034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относительный показатель, характеризующий изменение оборота розничной торговли в сравниваемых периодах в сопоставимых ценах.</w:t>
      </w:r>
    </w:p>
    <w:p w:rsidR="004034DA" w:rsidRPr="004034DA" w:rsidRDefault="004034DA" w:rsidP="00DF10A2">
      <w:pPr>
        <w:spacing w:after="0" w:line="336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34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Оборот оптовой торговли</w:t>
      </w:r>
      <w:r w:rsidRPr="004034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представляет собой стоимость отгруженных товаров, приобретенных ранее на стороне</w:t>
      </w:r>
      <w:r w:rsidR="001118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4034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целях перепродажи юридическим лицам и индивидуальным предпринимателям для профессионального использования (переработки или дальнейшей продажи).</w:t>
      </w:r>
    </w:p>
    <w:p w:rsidR="00DF10A2" w:rsidRPr="004034DA" w:rsidRDefault="00DF10A2" w:rsidP="00DF10A2">
      <w:pPr>
        <w:spacing w:after="0" w:line="336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34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Оборот общественного питания</w:t>
      </w:r>
      <w:r w:rsidRPr="004034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выручка от реализации собственной кулинарной продукции и покупных товаров, проданных населению для потребления главным образом на месте, а также организациям и индивидуальным предпринимателям для организации питания различных контингентов населения.</w:t>
      </w:r>
    </w:p>
    <w:p w:rsidR="0026348E" w:rsidRDefault="004034DA" w:rsidP="00DF10A2">
      <w:pPr>
        <w:spacing w:after="0" w:line="336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34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оборот общественного питания включается стоимость кулинарной продукции и покупных товаров, проданных (отпущенных): работникам организаций с последующим удержанием из заработной платы; на дом по заказам населения; на рабочие места по заказам организаций и индивидуальных предпринимателей; транспортным предприятиям в пути следования сухопутного, воздушного, водного транспорта; </w:t>
      </w:r>
      <w:proofErr w:type="gramStart"/>
      <w:r w:rsidRPr="004034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обслуживания приемов, банкетов и т. п.; организациями общественного питания организациям социальной сферы (школам, больницам, санаториям, домам престарелых и т. п.) в объеме фактической стоимости питания; по абонементам, талонам и т.п. в объеме фактической стоимости питания</w:t>
      </w:r>
      <w:r w:rsidR="00263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4034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263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Стоимость питания </w:t>
      </w:r>
      <w:r w:rsidR="002A62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учебных учреждениях, в том числе предоставляемого для отдельных категорий учащихся на льготной основе за счет средств бюджета, включается в оборот общественного питания </w:t>
      </w:r>
      <w:r w:rsidR="00DF10A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данного учебного учреждения в полном объеме.</w:t>
      </w:r>
    </w:p>
    <w:p w:rsidR="001118CB" w:rsidRDefault="004034DA" w:rsidP="00DF10A2">
      <w:pPr>
        <w:spacing w:after="0" w:line="336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34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Оборот розничной торговли (общественного питания, оптовой торговли) включает данные как по организациям, для которых эта деятельность является основной, так и по организа</w:t>
      </w:r>
      <w:r w:rsidR="001118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циям других видов деятельности и приводится в фактических продажных ценах, включая торговую наценку (наценку общественного питания), налог на добавленную стоимость, и аналогичные обязательные платежи. В оборот оптовой торговли включаются также акциз, экспортная пошлина, таможенные сборы.</w:t>
      </w:r>
    </w:p>
    <w:p w:rsidR="004034DA" w:rsidRPr="004034DA" w:rsidRDefault="004034DA" w:rsidP="00DF10A2">
      <w:pPr>
        <w:spacing w:after="0" w:line="336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34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Оборот розничной торговли (общественного питания, оптовой торговли) включает в себя данные по индивидуальным предпринимателям. Оборот розничной торговли, кроме того, включает продажу товаров </w:t>
      </w:r>
      <w:r w:rsidRPr="004034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индивидуальными предпринимателями, физическими лицами на вещевых, смешанных и продовольственных рынках</w:t>
      </w:r>
      <w:r w:rsidR="001118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ярмарках</w:t>
      </w:r>
      <w:r w:rsidRPr="004034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034DA" w:rsidRPr="004034DA" w:rsidRDefault="004034DA" w:rsidP="00DF10A2">
      <w:pPr>
        <w:spacing w:after="0" w:line="336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34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Оборот розничной торговли (общественного питания, оптовой торговли) формируется по данным сплошного статистического наблюдения за крупными и средними организациями, которое проводится с месячной периодичностью, а также ежемесячных</w:t>
      </w:r>
      <w:r w:rsidR="00DF10A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ежеквартальных</w:t>
      </w:r>
      <w:r w:rsidRPr="004034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выборочных обследований малых предприятий, ежегодных выборочных обследований индивидуальных предпринимателей с распространением полученных данных на генеральную совокупность. Для определения оборота розничной торговли на розничных рынках </w:t>
      </w:r>
      <w:r w:rsidR="00DF10A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 ярмарках </w:t>
      </w:r>
      <w:r w:rsidRPr="004034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проводится еже</w:t>
      </w:r>
      <w:r w:rsidR="00DF10A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кварталь</w:t>
      </w:r>
      <w:r w:rsidRPr="004034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ное наблюдение за этими субъектами. Кроме того, в соответствии с требованиями системы национальных счетов, оборот розничной торговли (общественного питания, оптовой торговли) досчитывается на объем скрытой деятельности.</w:t>
      </w:r>
    </w:p>
    <w:p w:rsidR="004034DA" w:rsidRPr="004034DA" w:rsidRDefault="004034DA" w:rsidP="00DF10A2">
      <w:pPr>
        <w:spacing w:after="0" w:line="336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34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Годовые данные об обороте розничной торговли </w:t>
      </w:r>
      <w:r w:rsidR="000D10F9" w:rsidRPr="004034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(общественного питания, оптовой торговли)</w:t>
      </w:r>
      <w:r w:rsidR="000D10F9" w:rsidRPr="004034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4034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уточняются после получения утвержденных итогов из Росстата в апреле текущего года. </w:t>
      </w:r>
    </w:p>
    <w:p w:rsidR="004034DA" w:rsidRPr="000D10F9" w:rsidRDefault="004034DA" w:rsidP="000D10F9">
      <w:pPr>
        <w:spacing w:after="0" w:line="336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0A2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Объем платных услуг населению</w:t>
      </w:r>
      <w:r w:rsidRPr="00DF10A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отражает объем потребления гражданами различных видов услуг, оказанных им за плату. Он представляет собой денежный эквивалент объема услуг, оказанных резидентами российской экономики (юридическими лицами</w:t>
      </w:r>
      <w:r w:rsidR="0090051A" w:rsidRPr="00DF10A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индивидуальными предпринимателями, нотариусами и адвокатами</w:t>
      </w:r>
      <w:r w:rsidR="006A4E8F" w:rsidRPr="00DF10A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учредившими адвокатские кабинеты) населению </w:t>
      </w:r>
      <w:r w:rsidRPr="00DF10A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гражданам Российской Федерации, а также гражданам других государств (нерезидентам), потребляющим те или иные услуги на территории Российской</w:t>
      </w:r>
      <w:r w:rsidR="00621B9C" w:rsidRPr="00DF10A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Федерации.</w:t>
      </w:r>
      <w:r w:rsidR="000D1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0D1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Этот показатель формируется на основании данных форм федерального статистического наблюдения и оценки ненаблюдаемой деятельности на рынке услуг. </w:t>
      </w:r>
    </w:p>
    <w:p w:rsidR="00621B9C" w:rsidRPr="000D10F9" w:rsidRDefault="00621B9C" w:rsidP="000D10F9">
      <w:pPr>
        <w:spacing w:after="0" w:line="336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1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Распределение учитываемых в составе объема платных услуг населению услуг по видам осуществляется в соответствии с Общероссийским классификатором продукции по видам экономической деятельности (ОКПД2) </w:t>
      </w:r>
      <w:proofErr w:type="gramStart"/>
      <w:r w:rsidRPr="000D1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</w:t>
      </w:r>
      <w:proofErr w:type="gramEnd"/>
      <w:r w:rsidRPr="000D1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034-2014 (КПЕС 2008), принятым и введенным в действие приказом </w:t>
      </w:r>
      <w:proofErr w:type="spellStart"/>
      <w:r w:rsidRPr="000D1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Росстандарта</w:t>
      </w:r>
      <w:proofErr w:type="spellEnd"/>
      <w:r w:rsidRPr="000D1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31 января 2014 г. № 14-ст (далее - ОКПД2).</w:t>
      </w:r>
    </w:p>
    <w:p w:rsidR="00621B9C" w:rsidRPr="000D10F9" w:rsidRDefault="00621B9C" w:rsidP="000D10F9">
      <w:pPr>
        <w:spacing w:after="0" w:line="336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1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Официальная статистическая информация о платных услугах населению формируется в разрезе следующих групп:</w:t>
      </w:r>
    </w:p>
    <w:p w:rsidR="00621B9C" w:rsidRPr="000D10F9" w:rsidRDefault="00621B9C" w:rsidP="000D10F9">
      <w:pPr>
        <w:spacing w:after="0" w:line="336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1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Бытовые услуги, в том числе: </w:t>
      </w:r>
    </w:p>
    <w:p w:rsidR="00621B9C" w:rsidRPr="000D10F9" w:rsidRDefault="00335516" w:rsidP="000D10F9">
      <w:pPr>
        <w:spacing w:after="0" w:line="336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</w:t>
      </w:r>
      <w:r w:rsidR="00621B9C" w:rsidRPr="000D1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услуги по ремонту, окраске и пошиву обуви;</w:t>
      </w:r>
    </w:p>
    <w:p w:rsidR="00621B9C" w:rsidRPr="000D10F9" w:rsidRDefault="00335516" w:rsidP="000D10F9">
      <w:pPr>
        <w:spacing w:after="0" w:line="336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</w:t>
      </w:r>
      <w:r w:rsidR="00621B9C" w:rsidRPr="000D1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услуги по ремонту и пошиву швейных, меховых и кожаных изделий, головных уборов и изделий текстильной галантереи, ремонту, пошиву и вязанию трикотажных изделий;</w:t>
      </w:r>
    </w:p>
    <w:p w:rsidR="00621B9C" w:rsidRPr="000D10F9" w:rsidRDefault="00335516" w:rsidP="000D10F9">
      <w:pPr>
        <w:spacing w:after="0" w:line="336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</w:t>
      </w:r>
      <w:r w:rsidR="00621B9C" w:rsidRPr="000D1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услуги по ремонту и техническому обслуживанию бытовой радиоэлектронной аппаратуры, бытовых машин и приборов, ремонту и изготовлению металлоизделий;</w:t>
      </w:r>
    </w:p>
    <w:p w:rsidR="00621B9C" w:rsidRPr="000D10F9" w:rsidRDefault="00335516" w:rsidP="000D10F9">
      <w:pPr>
        <w:spacing w:after="0" w:line="336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</w:t>
      </w:r>
      <w:r w:rsidR="00621B9C" w:rsidRPr="000D1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услуги по техническому обслуживанию и ремонту транспортных средств, машин и оборудования;</w:t>
      </w:r>
    </w:p>
    <w:p w:rsidR="00621B9C" w:rsidRPr="000D10F9" w:rsidRDefault="00335516" w:rsidP="000D10F9">
      <w:pPr>
        <w:spacing w:after="0" w:line="336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</w:t>
      </w:r>
      <w:r w:rsidR="00621B9C" w:rsidRPr="000D1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услуги по изготовлению и ремонту мебели;</w:t>
      </w:r>
    </w:p>
    <w:p w:rsidR="00621B9C" w:rsidRPr="000D10F9" w:rsidRDefault="00335516" w:rsidP="000D10F9">
      <w:pPr>
        <w:spacing w:after="0" w:line="336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</w:t>
      </w:r>
      <w:r w:rsidR="00621B9C" w:rsidRPr="000D1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услуги по химической чистке и крашению, услуги прачечных;</w:t>
      </w:r>
    </w:p>
    <w:p w:rsidR="00621B9C" w:rsidRPr="000D10F9" w:rsidRDefault="00335516" w:rsidP="000D10F9">
      <w:pPr>
        <w:spacing w:after="0" w:line="336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</w:t>
      </w:r>
      <w:r w:rsidR="00621B9C" w:rsidRPr="000D1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услуги по ремонту и строительству жилья и других построек;</w:t>
      </w:r>
    </w:p>
    <w:p w:rsidR="00621B9C" w:rsidRPr="000D10F9" w:rsidRDefault="00335516" w:rsidP="000D10F9">
      <w:pPr>
        <w:spacing w:after="0" w:line="336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</w:t>
      </w:r>
      <w:r w:rsidR="00621B9C" w:rsidRPr="000D1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услуги фотоателье;</w:t>
      </w:r>
    </w:p>
    <w:p w:rsidR="00621B9C" w:rsidRPr="000D10F9" w:rsidRDefault="00335516" w:rsidP="000D10F9">
      <w:pPr>
        <w:spacing w:after="0" w:line="336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</w:t>
      </w:r>
      <w:r w:rsidR="00621B9C" w:rsidRPr="000D1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услуги бань и душевых;</w:t>
      </w:r>
    </w:p>
    <w:p w:rsidR="00621B9C" w:rsidRPr="000D10F9" w:rsidRDefault="00335516" w:rsidP="000D10F9">
      <w:pPr>
        <w:spacing w:after="0" w:line="336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</w:t>
      </w:r>
      <w:r w:rsidR="00621B9C" w:rsidRPr="000D1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услуги парикмахерских;</w:t>
      </w:r>
    </w:p>
    <w:p w:rsidR="00621B9C" w:rsidRPr="000D10F9" w:rsidRDefault="00335516" w:rsidP="000D10F9">
      <w:pPr>
        <w:spacing w:after="0" w:line="336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</w:t>
      </w:r>
      <w:r w:rsidR="00621B9C" w:rsidRPr="000D1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услуги предприятий по прокату;</w:t>
      </w:r>
    </w:p>
    <w:p w:rsidR="00621B9C" w:rsidRPr="000D10F9" w:rsidRDefault="00335516" w:rsidP="000D10F9">
      <w:pPr>
        <w:spacing w:after="0" w:line="336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</w:t>
      </w:r>
      <w:r w:rsidR="00621B9C" w:rsidRPr="000D1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ритуальные услуги;</w:t>
      </w:r>
    </w:p>
    <w:p w:rsidR="00621B9C" w:rsidRPr="000D10F9" w:rsidRDefault="00335516" w:rsidP="000D10F9">
      <w:pPr>
        <w:spacing w:after="0" w:line="336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</w:t>
      </w:r>
      <w:r w:rsidR="00621B9C" w:rsidRPr="000D1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прочие виды бытовых услуг.</w:t>
      </w:r>
    </w:p>
    <w:p w:rsidR="00621B9C" w:rsidRPr="000D10F9" w:rsidRDefault="00621B9C" w:rsidP="000D10F9">
      <w:pPr>
        <w:spacing w:after="0" w:line="336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" w:name="_Toc348013333"/>
      <w:r w:rsidRPr="000D1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Транспортные услуги</w:t>
      </w:r>
      <w:bookmarkEnd w:id="1"/>
      <w:r w:rsidRPr="000D1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21B9C" w:rsidRPr="000D10F9" w:rsidRDefault="00621B9C" w:rsidP="000D10F9">
      <w:pPr>
        <w:spacing w:after="0" w:line="336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1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Услуги почтовой связи и курьерские услуги.</w:t>
      </w:r>
    </w:p>
    <w:p w:rsidR="00621B9C" w:rsidRPr="000D10F9" w:rsidRDefault="00621B9C" w:rsidP="000D10F9">
      <w:pPr>
        <w:spacing w:after="0" w:line="336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1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Услуги телекоммуникационные.</w:t>
      </w:r>
    </w:p>
    <w:p w:rsidR="00621B9C" w:rsidRPr="000D10F9" w:rsidRDefault="00621B9C" w:rsidP="000D10F9">
      <w:pPr>
        <w:spacing w:after="0" w:line="336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1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Жилищные услуги.</w:t>
      </w:r>
    </w:p>
    <w:p w:rsidR="00621B9C" w:rsidRPr="000D10F9" w:rsidRDefault="00621B9C" w:rsidP="000D10F9">
      <w:pPr>
        <w:spacing w:after="0" w:line="336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1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Коммунальные услуги.</w:t>
      </w:r>
    </w:p>
    <w:p w:rsidR="00621B9C" w:rsidRPr="000D10F9" w:rsidRDefault="00621B9C" w:rsidP="000D10F9">
      <w:pPr>
        <w:spacing w:after="0" w:line="336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1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Услуги учреждений культуры.</w:t>
      </w:r>
    </w:p>
    <w:p w:rsidR="00621B9C" w:rsidRPr="000D10F9" w:rsidRDefault="00621B9C" w:rsidP="000D10F9">
      <w:pPr>
        <w:spacing w:after="0" w:line="336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1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Услуги туристских агентств, туроператоров и прочие услуги по бронированию и сопутствующие им услуги.</w:t>
      </w:r>
    </w:p>
    <w:p w:rsidR="00621B9C" w:rsidRPr="000D10F9" w:rsidRDefault="00621B9C" w:rsidP="000D10F9">
      <w:pPr>
        <w:spacing w:after="0" w:line="336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1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Услуги гостиниц и аналогичные услуги по предоставлению временного жилья.</w:t>
      </w:r>
    </w:p>
    <w:p w:rsidR="00621B9C" w:rsidRPr="000D10F9" w:rsidRDefault="00621B9C" w:rsidP="000D10F9">
      <w:pPr>
        <w:spacing w:after="0" w:line="336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1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Услуги физической культуры и спорта.</w:t>
      </w:r>
    </w:p>
    <w:p w:rsidR="00621B9C" w:rsidRPr="000D10F9" w:rsidRDefault="00621B9C" w:rsidP="000D10F9">
      <w:pPr>
        <w:spacing w:after="0" w:line="336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1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Медицинские услуги.</w:t>
      </w:r>
    </w:p>
    <w:p w:rsidR="00621B9C" w:rsidRPr="000D10F9" w:rsidRDefault="00621B9C" w:rsidP="000D10F9">
      <w:pPr>
        <w:spacing w:after="0" w:line="336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1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Услуги специализированных коллективных средств размещения, из них:</w:t>
      </w:r>
    </w:p>
    <w:p w:rsidR="00621B9C" w:rsidRPr="000D10F9" w:rsidRDefault="00621B9C" w:rsidP="000D10F9">
      <w:pPr>
        <w:spacing w:after="0" w:line="336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1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услуги санаторно-курортных организаций.</w:t>
      </w:r>
    </w:p>
    <w:p w:rsidR="00621B9C" w:rsidRPr="000D10F9" w:rsidRDefault="00621B9C" w:rsidP="000D10F9">
      <w:pPr>
        <w:spacing w:after="0" w:line="336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1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Ветеринарные услуги.</w:t>
      </w:r>
    </w:p>
    <w:p w:rsidR="00621B9C" w:rsidRPr="000D10F9" w:rsidRDefault="00621B9C" w:rsidP="000D10F9">
      <w:pPr>
        <w:spacing w:after="0" w:line="336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1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Услуги юридические.</w:t>
      </w:r>
    </w:p>
    <w:p w:rsidR="00621B9C" w:rsidRPr="000D10F9" w:rsidRDefault="00621B9C" w:rsidP="000D10F9">
      <w:pPr>
        <w:spacing w:after="0" w:line="336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1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Услуги системы образования.</w:t>
      </w:r>
    </w:p>
    <w:p w:rsidR="00621B9C" w:rsidRPr="000D10F9" w:rsidRDefault="00621B9C" w:rsidP="000D10F9">
      <w:pPr>
        <w:spacing w:after="0" w:line="336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1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Услуги, предоставляемые гражданам пожилого возраста и инвалидам.</w:t>
      </w:r>
    </w:p>
    <w:p w:rsidR="00621B9C" w:rsidRPr="000D10F9" w:rsidRDefault="00621B9C" w:rsidP="000D10F9">
      <w:pPr>
        <w:spacing w:after="0" w:line="336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1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Прочие платные услуги.</w:t>
      </w:r>
    </w:p>
    <w:p w:rsidR="00335516" w:rsidRDefault="00335516" w:rsidP="000D10F9">
      <w:pPr>
        <w:spacing w:after="0" w:line="336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21B9C" w:rsidRPr="000D10F9" w:rsidRDefault="00621B9C" w:rsidP="000D10F9">
      <w:pPr>
        <w:spacing w:after="0" w:line="336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1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Периодичность разработки показателя «Объем платных услуг населению»: годовая; месячная (оперативные данные).</w:t>
      </w:r>
    </w:p>
    <w:p w:rsidR="007B5E61" w:rsidRPr="000D10F9" w:rsidRDefault="007B5E61" w:rsidP="000D10F9">
      <w:pPr>
        <w:spacing w:after="0" w:line="336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551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Индекс физического объема платных услуг населению</w:t>
      </w:r>
      <w:r w:rsidRPr="000D1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(ИФО) – относительный показатель, характеризующий изменение (динамику) объема платных услуг населению в текущем периоде по сравнению с базисным периодом в сопоставимых ценах. Этот индекс показывает, насколько увеличился (уменьшился) объем платных услуг населению в результате изменения только его физического объема при исключении влияния ценового фактора.</w:t>
      </w:r>
    </w:p>
    <w:p w:rsidR="007B5E61" w:rsidRPr="000D10F9" w:rsidRDefault="007B5E61" w:rsidP="000D10F9">
      <w:pPr>
        <w:spacing w:after="0" w:line="336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1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разработке годовых данных ИФО рассчитывается за отчетный год по сравнению с предыдущим годом, при разработке месячных данных – за отчетный месяц (квартал) по сравнению с предыдущим месяцем (кварталом) и с соответствующим месяцем (кварталом) предыдущего года, а также за период с начала текущего года по сравнению с соответствующим периодом предыдущего года.</w:t>
      </w:r>
    </w:p>
    <w:p w:rsidR="007B5E61" w:rsidRPr="000D10F9" w:rsidRDefault="007B5E61" w:rsidP="000D10F9">
      <w:pPr>
        <w:spacing w:after="0" w:line="336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1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Индекс потребительских цен (ИПЦ) на платные услуги и бытовые услуги для расчета соответствующих ИФО не используются в связи со структурными различиями их с объемом платных (и соответственно бытовых) услуг населению по видам.</w:t>
      </w:r>
    </w:p>
    <w:p w:rsidR="007B5E61" w:rsidRPr="000D10F9" w:rsidRDefault="007B5E61" w:rsidP="000D10F9">
      <w:pPr>
        <w:spacing w:after="0" w:line="336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1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определения сводного ИФО по платным услугам в целом и сводного ИФО по бытовым услугам населению применяется процедура взвешивания ИПЦ по видам услуг на видовую структуру соответственно объема платных услуг населению и объема бытовых услуг населению.</w:t>
      </w:r>
    </w:p>
    <w:p w:rsidR="004034DA" w:rsidRPr="000D10F9" w:rsidRDefault="004034DA" w:rsidP="004034DA">
      <w:pPr>
        <w:spacing w:after="0" w:line="336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034DA" w:rsidRPr="000D10F9" w:rsidRDefault="00335516" w:rsidP="004034DA">
      <w:pPr>
        <w:spacing w:after="0" w:line="336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1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25" style="width:0;height:1.5pt" o:hralign="center" o:hrstd="t" o:hr="t" fillcolor="gray" stroked="f"/>
        </w:pict>
      </w:r>
    </w:p>
    <w:p w:rsidR="0090051A" w:rsidRPr="000D10F9" w:rsidRDefault="0090051A" w:rsidP="0090051A">
      <w:pPr>
        <w:pStyle w:val="a3"/>
        <w:rPr>
          <w:rFonts w:ascii="Arial" w:hAnsi="Arial" w:cs="Arial"/>
          <w:sz w:val="18"/>
          <w:szCs w:val="18"/>
          <w:lang w:eastAsia="ru-RU"/>
        </w:rPr>
      </w:pPr>
      <w:r w:rsidRPr="000D10F9">
        <w:rPr>
          <w:rFonts w:ascii="Arial" w:hAnsi="Arial" w:cs="Arial"/>
          <w:sz w:val="18"/>
          <w:szCs w:val="18"/>
          <w:lang w:eastAsia="ru-RU"/>
        </w:rPr>
        <w:t>О</w:t>
      </w:r>
      <w:r w:rsidR="004034DA" w:rsidRPr="000D10F9">
        <w:rPr>
          <w:rFonts w:ascii="Arial" w:hAnsi="Arial" w:cs="Arial"/>
          <w:sz w:val="18"/>
          <w:szCs w:val="18"/>
          <w:lang w:eastAsia="ru-RU"/>
        </w:rPr>
        <w:t>тветственный</w:t>
      </w:r>
      <w:r w:rsidRPr="000D10F9">
        <w:rPr>
          <w:rFonts w:ascii="Arial" w:hAnsi="Arial" w:cs="Arial"/>
          <w:sz w:val="18"/>
          <w:szCs w:val="18"/>
          <w:lang w:eastAsia="ru-RU"/>
        </w:rPr>
        <w:t xml:space="preserve"> </w:t>
      </w:r>
      <w:r w:rsidR="004034DA" w:rsidRPr="000D10F9">
        <w:rPr>
          <w:rFonts w:ascii="Arial" w:hAnsi="Arial" w:cs="Arial"/>
          <w:sz w:val="18"/>
          <w:szCs w:val="18"/>
          <w:lang w:eastAsia="ru-RU"/>
        </w:rPr>
        <w:t>за</w:t>
      </w:r>
      <w:r w:rsidRPr="000D10F9">
        <w:rPr>
          <w:rFonts w:ascii="Arial" w:hAnsi="Arial" w:cs="Arial"/>
          <w:sz w:val="18"/>
          <w:szCs w:val="18"/>
          <w:lang w:eastAsia="ru-RU"/>
        </w:rPr>
        <w:t xml:space="preserve"> </w:t>
      </w:r>
      <w:r w:rsidR="004034DA" w:rsidRPr="000D10F9">
        <w:rPr>
          <w:rFonts w:ascii="Arial" w:hAnsi="Arial" w:cs="Arial"/>
          <w:sz w:val="18"/>
          <w:szCs w:val="18"/>
          <w:lang w:eastAsia="ru-RU"/>
        </w:rPr>
        <w:t>заполнение</w:t>
      </w:r>
      <w:r w:rsidR="004034DA" w:rsidRPr="000D10F9">
        <w:rPr>
          <w:rFonts w:ascii="Arial" w:hAnsi="Arial" w:cs="Arial"/>
          <w:sz w:val="18"/>
          <w:szCs w:val="18"/>
          <w:lang w:eastAsia="ru-RU"/>
        </w:rPr>
        <w:br/>
      </w:r>
      <w:r w:rsidRPr="000D10F9">
        <w:rPr>
          <w:rFonts w:ascii="Arial" w:hAnsi="Arial" w:cs="Arial"/>
          <w:sz w:val="18"/>
          <w:szCs w:val="18"/>
          <w:lang w:eastAsia="ru-RU"/>
        </w:rPr>
        <w:t>Куценко С. Г.</w:t>
      </w:r>
    </w:p>
    <w:p w:rsidR="0090051A" w:rsidRPr="000D10F9" w:rsidRDefault="0090051A" w:rsidP="0090051A">
      <w:pPr>
        <w:pStyle w:val="a3"/>
        <w:rPr>
          <w:rFonts w:ascii="Arial" w:hAnsi="Arial" w:cs="Arial"/>
          <w:sz w:val="18"/>
          <w:szCs w:val="18"/>
          <w:lang w:eastAsia="ru-RU"/>
        </w:rPr>
      </w:pPr>
      <w:r w:rsidRPr="000D10F9">
        <w:rPr>
          <w:rFonts w:ascii="Arial" w:hAnsi="Arial" w:cs="Arial"/>
          <w:sz w:val="18"/>
          <w:szCs w:val="18"/>
          <w:lang w:eastAsia="ru-RU"/>
        </w:rPr>
        <w:t>тел. (3952)</w:t>
      </w:r>
      <w:r w:rsidR="00621B9C" w:rsidRPr="000D10F9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0D10F9">
        <w:rPr>
          <w:rFonts w:ascii="Arial" w:hAnsi="Arial" w:cs="Arial"/>
          <w:sz w:val="18"/>
          <w:szCs w:val="18"/>
          <w:lang w:eastAsia="ru-RU"/>
        </w:rPr>
        <w:t>34 26 92 (доп. 304)</w:t>
      </w:r>
    </w:p>
    <w:p w:rsidR="0090051A" w:rsidRPr="000D10F9" w:rsidRDefault="0090051A" w:rsidP="0090051A">
      <w:pPr>
        <w:pStyle w:val="a3"/>
        <w:rPr>
          <w:rFonts w:ascii="Arial" w:hAnsi="Arial" w:cs="Arial"/>
          <w:sz w:val="18"/>
          <w:szCs w:val="18"/>
          <w:lang w:eastAsia="ru-RU"/>
        </w:rPr>
      </w:pPr>
      <w:proofErr w:type="spellStart"/>
      <w:r w:rsidRPr="000D10F9">
        <w:rPr>
          <w:rFonts w:ascii="Arial" w:hAnsi="Arial" w:cs="Arial"/>
          <w:sz w:val="18"/>
          <w:szCs w:val="18"/>
          <w:lang w:eastAsia="ru-RU"/>
        </w:rPr>
        <w:t>Саралидзе</w:t>
      </w:r>
      <w:proofErr w:type="spellEnd"/>
      <w:r w:rsidRPr="000D10F9">
        <w:rPr>
          <w:rFonts w:ascii="Arial" w:hAnsi="Arial" w:cs="Arial"/>
          <w:sz w:val="18"/>
          <w:szCs w:val="18"/>
          <w:lang w:eastAsia="ru-RU"/>
        </w:rPr>
        <w:t xml:space="preserve"> М.В.</w:t>
      </w:r>
    </w:p>
    <w:p w:rsidR="004034DA" w:rsidRPr="0090051A" w:rsidRDefault="0090051A" w:rsidP="0090051A">
      <w:pPr>
        <w:pStyle w:val="a3"/>
        <w:rPr>
          <w:lang w:eastAsia="ru-RU"/>
        </w:rPr>
      </w:pPr>
      <w:r w:rsidRPr="000D10F9">
        <w:rPr>
          <w:rFonts w:ascii="Arial" w:hAnsi="Arial" w:cs="Arial"/>
          <w:sz w:val="18"/>
          <w:szCs w:val="18"/>
          <w:lang w:eastAsia="ru-RU"/>
        </w:rPr>
        <w:t>тел. (3952)</w:t>
      </w:r>
      <w:r w:rsidR="00621B9C" w:rsidRPr="000D10F9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0D10F9">
        <w:rPr>
          <w:rFonts w:ascii="Arial" w:hAnsi="Arial" w:cs="Arial"/>
          <w:sz w:val="18"/>
          <w:szCs w:val="18"/>
          <w:lang w:eastAsia="ru-RU"/>
        </w:rPr>
        <w:t>33 24 95 (доп. 316)</w:t>
      </w:r>
      <w:r w:rsidR="004034DA" w:rsidRPr="000D10F9">
        <w:rPr>
          <w:rFonts w:ascii="Arial" w:hAnsi="Arial" w:cs="Arial"/>
          <w:sz w:val="18"/>
          <w:szCs w:val="18"/>
          <w:lang w:eastAsia="ru-RU"/>
        </w:rPr>
        <w:br/>
      </w:r>
      <w:r w:rsidR="004034DA" w:rsidRPr="004034DA">
        <w:rPr>
          <w:lang w:eastAsia="ru-RU"/>
        </w:rPr>
        <w:br/>
      </w:r>
    </w:p>
    <w:p w:rsidR="004034DA" w:rsidRPr="004034DA" w:rsidRDefault="004034DA" w:rsidP="004034DA">
      <w:pPr>
        <w:spacing w:after="150" w:line="336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34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4714A5" w:rsidRDefault="004714A5"/>
    <w:sectPr w:rsidR="0047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DA"/>
    <w:rsid w:val="000D10F9"/>
    <w:rsid w:val="001118CB"/>
    <w:rsid w:val="0026348E"/>
    <w:rsid w:val="002A623B"/>
    <w:rsid w:val="00335516"/>
    <w:rsid w:val="004034DA"/>
    <w:rsid w:val="004714A5"/>
    <w:rsid w:val="005043B6"/>
    <w:rsid w:val="00621B9C"/>
    <w:rsid w:val="006A4E8F"/>
    <w:rsid w:val="007B5E61"/>
    <w:rsid w:val="008E447D"/>
    <w:rsid w:val="0090051A"/>
    <w:rsid w:val="00DF10A2"/>
    <w:rsid w:val="00F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51A"/>
    <w:pPr>
      <w:spacing w:after="0" w:line="240" w:lineRule="auto"/>
    </w:pPr>
  </w:style>
  <w:style w:type="paragraph" w:styleId="a4">
    <w:name w:val="Body Text Indent"/>
    <w:basedOn w:val="a"/>
    <w:link w:val="a5"/>
    <w:rsid w:val="007B5E61"/>
    <w:pPr>
      <w:autoSpaceDE w:val="0"/>
      <w:autoSpaceDN w:val="0"/>
      <w:spacing w:after="0" w:line="36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B5E61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Style10">
    <w:name w:val="Style10"/>
    <w:basedOn w:val="a"/>
    <w:uiPriority w:val="99"/>
    <w:rsid w:val="00504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043B6"/>
    <w:pPr>
      <w:widowControl w:val="0"/>
      <w:autoSpaceDE w:val="0"/>
      <w:autoSpaceDN w:val="0"/>
      <w:adjustRightInd w:val="0"/>
      <w:spacing w:after="0" w:line="275" w:lineRule="exact"/>
      <w:ind w:firstLine="57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5043B6"/>
    <w:rPr>
      <w:rFonts w:ascii="Arial" w:hAnsi="Arial" w:cs="Arial"/>
      <w:sz w:val="24"/>
      <w:szCs w:val="24"/>
    </w:rPr>
  </w:style>
  <w:style w:type="character" w:customStyle="1" w:styleId="FontStyle82">
    <w:name w:val="Font Style82"/>
    <w:basedOn w:val="a0"/>
    <w:uiPriority w:val="99"/>
    <w:rsid w:val="005043B6"/>
    <w:rPr>
      <w:rFonts w:ascii="Arial" w:hAnsi="Arial" w:cs="Arial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51A"/>
    <w:pPr>
      <w:spacing w:after="0" w:line="240" w:lineRule="auto"/>
    </w:pPr>
  </w:style>
  <w:style w:type="paragraph" w:styleId="a4">
    <w:name w:val="Body Text Indent"/>
    <w:basedOn w:val="a"/>
    <w:link w:val="a5"/>
    <w:rsid w:val="007B5E61"/>
    <w:pPr>
      <w:autoSpaceDE w:val="0"/>
      <w:autoSpaceDN w:val="0"/>
      <w:spacing w:after="0" w:line="36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B5E61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Style10">
    <w:name w:val="Style10"/>
    <w:basedOn w:val="a"/>
    <w:uiPriority w:val="99"/>
    <w:rsid w:val="00504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043B6"/>
    <w:pPr>
      <w:widowControl w:val="0"/>
      <w:autoSpaceDE w:val="0"/>
      <w:autoSpaceDN w:val="0"/>
      <w:adjustRightInd w:val="0"/>
      <w:spacing w:after="0" w:line="275" w:lineRule="exact"/>
      <w:ind w:firstLine="57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5043B6"/>
    <w:rPr>
      <w:rFonts w:ascii="Arial" w:hAnsi="Arial" w:cs="Arial"/>
      <w:sz w:val="24"/>
      <w:szCs w:val="24"/>
    </w:rPr>
  </w:style>
  <w:style w:type="character" w:customStyle="1" w:styleId="FontStyle82">
    <w:name w:val="Font Style82"/>
    <w:basedOn w:val="a0"/>
    <w:uiPriority w:val="99"/>
    <w:rsid w:val="005043B6"/>
    <w:rPr>
      <w:rFonts w:ascii="Arial" w:hAnsi="Arial" w:cs="Ari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688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1195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481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6201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27816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4652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5345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6891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603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4062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812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6793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9177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</dc:creator>
  <cp:keywords/>
  <dc:description/>
  <cp:lastModifiedBy>User</cp:lastModifiedBy>
  <cp:revision>3</cp:revision>
  <dcterms:created xsi:type="dcterms:W3CDTF">2018-01-23T04:51:00Z</dcterms:created>
  <dcterms:modified xsi:type="dcterms:W3CDTF">2018-01-23T04:54:00Z</dcterms:modified>
</cp:coreProperties>
</file>